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A41BA" w14:textId="77777777" w:rsidR="00257284" w:rsidRPr="008B39E1" w:rsidRDefault="00257284" w:rsidP="000F0F5A">
      <w:pPr>
        <w:spacing w:after="0" w:line="240" w:lineRule="auto"/>
        <w:jc w:val="center"/>
        <w:rPr>
          <w:rFonts w:ascii="Times New Roman" w:hAnsi="Times New Roman" w:cs="Times New Roman"/>
          <w:b/>
          <w:bCs/>
          <w:sz w:val="24"/>
          <w:szCs w:val="24"/>
        </w:rPr>
      </w:pPr>
    </w:p>
    <w:p w14:paraId="653EF8AB" w14:textId="73E953CC" w:rsidR="00C714BE" w:rsidRDefault="004A3BC0"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Corporate Relocations, Social Capital Disruptions, and Employee Attention to Internal Controls Over Financial Reporting</w:t>
      </w:r>
    </w:p>
    <w:p w14:paraId="14973ADE" w14:textId="77777777" w:rsidR="005C137E" w:rsidRPr="008B39E1" w:rsidRDefault="005C137E" w:rsidP="000F0F5A">
      <w:pPr>
        <w:spacing w:after="0" w:line="240" w:lineRule="auto"/>
        <w:jc w:val="center"/>
        <w:rPr>
          <w:rFonts w:ascii="Times New Roman" w:hAnsi="Times New Roman" w:cs="Times New Roman"/>
          <w:sz w:val="24"/>
          <w:szCs w:val="24"/>
        </w:rPr>
      </w:pPr>
    </w:p>
    <w:p w14:paraId="3BD69628" w14:textId="77777777" w:rsidR="00C714BE" w:rsidRPr="008B39E1" w:rsidRDefault="00C714BE" w:rsidP="000F0F5A">
      <w:pPr>
        <w:spacing w:after="0" w:line="240" w:lineRule="auto"/>
        <w:jc w:val="center"/>
        <w:rPr>
          <w:rFonts w:ascii="Times New Roman" w:hAnsi="Times New Roman" w:cs="Times New Roman"/>
          <w:sz w:val="24"/>
          <w:szCs w:val="24"/>
        </w:rPr>
      </w:pPr>
      <w:r w:rsidRPr="008B39E1">
        <w:rPr>
          <w:rFonts w:ascii="Times New Roman" w:hAnsi="Times New Roman" w:cs="Times New Roman"/>
          <w:b/>
          <w:bCs/>
          <w:sz w:val="24"/>
          <w:szCs w:val="24"/>
        </w:rPr>
        <w:t>ABSTRACT</w:t>
      </w:r>
    </w:p>
    <w:p w14:paraId="324B54CC" w14:textId="77777777" w:rsidR="00C714BE" w:rsidRPr="008B39E1" w:rsidRDefault="00C714BE" w:rsidP="000F0F5A">
      <w:pPr>
        <w:spacing w:after="0" w:line="240" w:lineRule="auto"/>
        <w:rPr>
          <w:rFonts w:ascii="Times New Roman" w:hAnsi="Times New Roman" w:cs="Times New Roman"/>
          <w:sz w:val="24"/>
          <w:szCs w:val="24"/>
        </w:rPr>
      </w:pPr>
    </w:p>
    <w:p w14:paraId="3583543A" w14:textId="66BB5082" w:rsidR="005C48D2" w:rsidRPr="008B39E1" w:rsidRDefault="00513941" w:rsidP="000F0F5A">
      <w:pPr>
        <w:spacing w:after="0" w:line="240" w:lineRule="auto"/>
        <w:rPr>
          <w:rFonts w:ascii="Times New Roman" w:hAnsi="Times New Roman" w:cs="Times New Roman"/>
          <w:sz w:val="24"/>
          <w:szCs w:val="24"/>
        </w:rPr>
      </w:pPr>
      <w:r w:rsidRPr="008B39E1">
        <w:rPr>
          <w:rFonts w:ascii="Times New Roman" w:hAnsi="Times New Roman" w:cs="Times New Roman"/>
          <w:sz w:val="24"/>
          <w:szCs w:val="24"/>
        </w:rPr>
        <w:t xml:space="preserve">Relocations can engender substantial disruption for firms’ employees. </w:t>
      </w:r>
      <w:r w:rsidR="004E67CC" w:rsidRPr="008B39E1">
        <w:rPr>
          <w:rFonts w:ascii="Times New Roman" w:hAnsi="Times New Roman" w:cs="Times New Roman"/>
          <w:sz w:val="24"/>
          <w:szCs w:val="24"/>
        </w:rPr>
        <w:t xml:space="preserve">This study examines </w:t>
      </w:r>
      <w:r w:rsidR="00F634E1" w:rsidRPr="008B39E1">
        <w:rPr>
          <w:rFonts w:ascii="Times New Roman" w:hAnsi="Times New Roman" w:cs="Times New Roman"/>
          <w:sz w:val="24"/>
          <w:szCs w:val="24"/>
        </w:rPr>
        <w:t>how corporate relocations</w:t>
      </w:r>
      <w:r w:rsidR="003354A3" w:rsidRPr="008B39E1">
        <w:rPr>
          <w:rFonts w:ascii="Times New Roman" w:hAnsi="Times New Roman" w:cs="Times New Roman"/>
          <w:sz w:val="24"/>
          <w:szCs w:val="24"/>
        </w:rPr>
        <w:t>,</w:t>
      </w:r>
      <w:r w:rsidR="00F634E1" w:rsidRPr="008B39E1">
        <w:rPr>
          <w:rFonts w:ascii="Times New Roman" w:hAnsi="Times New Roman" w:cs="Times New Roman"/>
          <w:sz w:val="24"/>
          <w:szCs w:val="24"/>
        </w:rPr>
        <w:t xml:space="preserve"> and </w:t>
      </w:r>
      <w:r w:rsidR="003354A3" w:rsidRPr="008B39E1">
        <w:rPr>
          <w:rFonts w:ascii="Times New Roman" w:hAnsi="Times New Roman" w:cs="Times New Roman"/>
          <w:sz w:val="24"/>
          <w:szCs w:val="24"/>
        </w:rPr>
        <w:t xml:space="preserve">the </w:t>
      </w:r>
      <w:r w:rsidR="00F634E1" w:rsidRPr="008B39E1">
        <w:rPr>
          <w:rFonts w:ascii="Times New Roman" w:hAnsi="Times New Roman" w:cs="Times New Roman"/>
          <w:sz w:val="24"/>
          <w:szCs w:val="24"/>
        </w:rPr>
        <w:t xml:space="preserve">associated </w:t>
      </w:r>
      <w:r w:rsidR="003354A3" w:rsidRPr="008B39E1">
        <w:rPr>
          <w:rFonts w:ascii="Times New Roman" w:hAnsi="Times New Roman" w:cs="Times New Roman"/>
          <w:sz w:val="24"/>
          <w:szCs w:val="24"/>
        </w:rPr>
        <w:t>changes in</w:t>
      </w:r>
      <w:r w:rsidR="00ED22BA" w:rsidRPr="008B39E1">
        <w:rPr>
          <w:rFonts w:ascii="Times New Roman" w:hAnsi="Times New Roman" w:cs="Times New Roman"/>
          <w:sz w:val="24"/>
          <w:szCs w:val="24"/>
        </w:rPr>
        <w:t xml:space="preserve"> psychosocial characteristics</w:t>
      </w:r>
      <w:r w:rsidR="000D123F" w:rsidRPr="008B39E1">
        <w:rPr>
          <w:rFonts w:ascii="Times New Roman" w:hAnsi="Times New Roman" w:cs="Times New Roman"/>
          <w:sz w:val="24"/>
          <w:szCs w:val="24"/>
        </w:rPr>
        <w:t xml:space="preserve"> (social </w:t>
      </w:r>
      <w:r w:rsidR="00254866" w:rsidRPr="008B39E1">
        <w:rPr>
          <w:rFonts w:ascii="Times New Roman" w:hAnsi="Times New Roman" w:cs="Times New Roman"/>
          <w:sz w:val="24"/>
          <w:szCs w:val="24"/>
        </w:rPr>
        <w:t>capital) from</w:t>
      </w:r>
      <w:r w:rsidR="000D123F" w:rsidRPr="008B39E1">
        <w:rPr>
          <w:rFonts w:ascii="Times New Roman" w:hAnsi="Times New Roman" w:cs="Times New Roman"/>
          <w:sz w:val="24"/>
          <w:szCs w:val="24"/>
        </w:rPr>
        <w:t xml:space="preserve"> the old to new locations</w:t>
      </w:r>
      <w:r w:rsidR="00731AB0" w:rsidRPr="008B39E1">
        <w:rPr>
          <w:rFonts w:ascii="Times New Roman" w:hAnsi="Times New Roman" w:cs="Times New Roman"/>
          <w:sz w:val="24"/>
          <w:szCs w:val="24"/>
        </w:rPr>
        <w:t xml:space="preserve"> (which disrupts the lives of employees)</w:t>
      </w:r>
      <w:r w:rsidR="003354A3" w:rsidRPr="008B39E1">
        <w:rPr>
          <w:rFonts w:ascii="Times New Roman" w:hAnsi="Times New Roman" w:cs="Times New Roman"/>
          <w:sz w:val="24"/>
          <w:szCs w:val="24"/>
        </w:rPr>
        <w:t xml:space="preserve">, </w:t>
      </w:r>
      <w:r w:rsidR="00F634E1" w:rsidRPr="008B39E1">
        <w:rPr>
          <w:rFonts w:ascii="Times New Roman" w:hAnsi="Times New Roman" w:cs="Times New Roman"/>
          <w:sz w:val="24"/>
          <w:szCs w:val="24"/>
        </w:rPr>
        <w:t>impact</w:t>
      </w:r>
      <w:r w:rsidR="00A34C35" w:rsidRPr="008B39E1">
        <w:rPr>
          <w:rFonts w:ascii="Times New Roman" w:hAnsi="Times New Roman" w:cs="Times New Roman"/>
          <w:sz w:val="24"/>
          <w:szCs w:val="24"/>
        </w:rPr>
        <w:t xml:space="preserve"> the </w:t>
      </w:r>
      <w:r w:rsidR="003354A3" w:rsidRPr="008B39E1">
        <w:rPr>
          <w:rFonts w:ascii="Times New Roman" w:hAnsi="Times New Roman" w:cs="Times New Roman"/>
          <w:sz w:val="24"/>
          <w:szCs w:val="24"/>
        </w:rPr>
        <w:t>quality</w:t>
      </w:r>
      <w:r w:rsidR="00A34C35" w:rsidRPr="008B39E1">
        <w:rPr>
          <w:rFonts w:ascii="Times New Roman" w:hAnsi="Times New Roman" w:cs="Times New Roman"/>
          <w:sz w:val="24"/>
          <w:szCs w:val="24"/>
        </w:rPr>
        <w:t xml:space="preserve"> of firms’ </w:t>
      </w:r>
      <w:r w:rsidR="004E67CC" w:rsidRPr="008B39E1">
        <w:rPr>
          <w:rFonts w:ascii="Times New Roman" w:hAnsi="Times New Roman" w:cs="Times New Roman"/>
          <w:sz w:val="24"/>
          <w:szCs w:val="24"/>
        </w:rPr>
        <w:t>internal control</w:t>
      </w:r>
      <w:r w:rsidR="00B85A76" w:rsidRPr="008B39E1">
        <w:rPr>
          <w:rFonts w:ascii="Times New Roman" w:hAnsi="Times New Roman" w:cs="Times New Roman"/>
          <w:sz w:val="24"/>
          <w:szCs w:val="24"/>
        </w:rPr>
        <w:t>s</w:t>
      </w:r>
      <w:r w:rsidR="004E67CC" w:rsidRPr="008B39E1">
        <w:rPr>
          <w:rFonts w:ascii="Times New Roman" w:hAnsi="Times New Roman" w:cs="Times New Roman"/>
          <w:sz w:val="24"/>
          <w:szCs w:val="24"/>
        </w:rPr>
        <w:t xml:space="preserve"> </w:t>
      </w:r>
      <w:r w:rsidR="00A34C35" w:rsidRPr="008B39E1">
        <w:rPr>
          <w:rFonts w:ascii="Times New Roman" w:hAnsi="Times New Roman" w:cs="Times New Roman"/>
          <w:sz w:val="24"/>
          <w:szCs w:val="24"/>
        </w:rPr>
        <w:t>over financial reporting</w:t>
      </w:r>
      <w:r w:rsidR="00731AB0" w:rsidRPr="008B39E1">
        <w:rPr>
          <w:rFonts w:ascii="Times New Roman" w:hAnsi="Times New Roman" w:cs="Times New Roman"/>
          <w:sz w:val="24"/>
          <w:szCs w:val="24"/>
        </w:rPr>
        <w:t xml:space="preserve"> (</w:t>
      </w:r>
      <w:proofErr w:type="spellStart"/>
      <w:r w:rsidR="00731AB0" w:rsidRPr="008B39E1">
        <w:rPr>
          <w:rFonts w:ascii="Times New Roman" w:hAnsi="Times New Roman" w:cs="Times New Roman"/>
          <w:sz w:val="24"/>
          <w:szCs w:val="24"/>
        </w:rPr>
        <w:t>ICFR</w:t>
      </w:r>
      <w:proofErr w:type="spellEnd"/>
      <w:r w:rsidR="00731AB0" w:rsidRPr="008B39E1">
        <w:rPr>
          <w:rFonts w:ascii="Times New Roman" w:hAnsi="Times New Roman" w:cs="Times New Roman"/>
          <w:sz w:val="24"/>
          <w:szCs w:val="24"/>
        </w:rPr>
        <w:t>)</w:t>
      </w:r>
      <w:r w:rsidR="002A6C46">
        <w:rPr>
          <w:rFonts w:ascii="Times New Roman" w:hAnsi="Times New Roman" w:cs="Times New Roman"/>
          <w:sz w:val="24"/>
          <w:szCs w:val="24"/>
        </w:rPr>
        <w:t>,</w:t>
      </w:r>
      <w:r w:rsidR="00731AB0" w:rsidRPr="008B39E1">
        <w:rPr>
          <w:rFonts w:ascii="Times New Roman" w:hAnsi="Times New Roman" w:cs="Times New Roman"/>
          <w:sz w:val="24"/>
          <w:szCs w:val="24"/>
        </w:rPr>
        <w:t xml:space="preserve"> a critical underpinning </w:t>
      </w:r>
      <w:r w:rsidR="002A6C46">
        <w:rPr>
          <w:rFonts w:ascii="Times New Roman" w:hAnsi="Times New Roman" w:cs="Times New Roman"/>
          <w:sz w:val="24"/>
          <w:szCs w:val="24"/>
        </w:rPr>
        <w:t xml:space="preserve">of </w:t>
      </w:r>
      <w:r w:rsidR="00164743">
        <w:rPr>
          <w:rFonts w:ascii="Times New Roman" w:hAnsi="Times New Roman" w:cs="Times New Roman"/>
          <w:sz w:val="24"/>
          <w:szCs w:val="24"/>
        </w:rPr>
        <w:t xml:space="preserve">firms’ </w:t>
      </w:r>
      <w:r w:rsidR="00731AB0" w:rsidRPr="008B39E1">
        <w:rPr>
          <w:rFonts w:ascii="Times New Roman" w:hAnsi="Times New Roman" w:cs="Times New Roman"/>
          <w:sz w:val="24"/>
          <w:szCs w:val="24"/>
        </w:rPr>
        <w:t>financial reporting</w:t>
      </w:r>
      <w:r w:rsidR="00164743">
        <w:rPr>
          <w:rFonts w:ascii="Times New Roman" w:hAnsi="Times New Roman" w:cs="Times New Roman"/>
          <w:sz w:val="24"/>
          <w:szCs w:val="24"/>
        </w:rPr>
        <w:t xml:space="preserve"> quality</w:t>
      </w:r>
      <w:r w:rsidR="004E67CC" w:rsidRPr="008B39E1">
        <w:rPr>
          <w:rFonts w:ascii="Times New Roman" w:hAnsi="Times New Roman" w:cs="Times New Roman"/>
          <w:sz w:val="24"/>
          <w:szCs w:val="24"/>
        </w:rPr>
        <w:t xml:space="preserve"> </w:t>
      </w:r>
      <w:r w:rsidR="00731AB0" w:rsidRPr="008B39E1">
        <w:rPr>
          <w:rFonts w:ascii="Times New Roman" w:hAnsi="Times New Roman" w:cs="Times New Roman"/>
          <w:sz w:val="24"/>
          <w:szCs w:val="24"/>
        </w:rPr>
        <w:t>to stakeholders.</w:t>
      </w:r>
      <w:r w:rsidR="00164743">
        <w:rPr>
          <w:rFonts w:ascii="Times New Roman" w:hAnsi="Times New Roman" w:cs="Times New Roman"/>
          <w:sz w:val="24"/>
          <w:szCs w:val="24"/>
        </w:rPr>
        <w:t xml:space="preserve"> </w:t>
      </w:r>
      <w:r w:rsidR="004E67CC" w:rsidRPr="008B39E1">
        <w:rPr>
          <w:rFonts w:ascii="Times New Roman" w:hAnsi="Times New Roman" w:cs="Times New Roman"/>
          <w:sz w:val="24"/>
          <w:szCs w:val="24"/>
        </w:rPr>
        <w:t xml:space="preserve">Using a sample of 894 </w:t>
      </w:r>
      <w:r w:rsidR="00372646" w:rsidRPr="008B39E1">
        <w:rPr>
          <w:rFonts w:ascii="Times New Roman" w:hAnsi="Times New Roman" w:cs="Times New Roman"/>
          <w:sz w:val="24"/>
          <w:szCs w:val="24"/>
        </w:rPr>
        <w:t xml:space="preserve">U.S. </w:t>
      </w:r>
      <w:r w:rsidR="004E67CC" w:rsidRPr="008B39E1">
        <w:rPr>
          <w:rFonts w:ascii="Times New Roman" w:hAnsi="Times New Roman" w:cs="Times New Roman"/>
          <w:sz w:val="24"/>
          <w:szCs w:val="24"/>
        </w:rPr>
        <w:t xml:space="preserve">corporate relocations between 2005-2017, this study </w:t>
      </w:r>
      <w:r w:rsidR="00FE71A6" w:rsidRPr="008B39E1">
        <w:rPr>
          <w:rFonts w:ascii="Times New Roman" w:hAnsi="Times New Roman" w:cs="Times New Roman"/>
          <w:sz w:val="24"/>
          <w:szCs w:val="24"/>
        </w:rPr>
        <w:t xml:space="preserve">examines </w:t>
      </w:r>
      <w:r w:rsidR="0047073A" w:rsidRPr="008B39E1">
        <w:rPr>
          <w:rFonts w:ascii="Times New Roman" w:hAnsi="Times New Roman" w:cs="Times New Roman"/>
          <w:sz w:val="24"/>
          <w:szCs w:val="24"/>
        </w:rPr>
        <w:t xml:space="preserve">changes in firms’ </w:t>
      </w:r>
      <w:r w:rsidR="004E67CC" w:rsidRPr="008B39E1">
        <w:rPr>
          <w:rFonts w:ascii="Times New Roman" w:hAnsi="Times New Roman" w:cs="Times New Roman"/>
          <w:sz w:val="24"/>
          <w:szCs w:val="24"/>
        </w:rPr>
        <w:t xml:space="preserve">internal control </w:t>
      </w:r>
      <w:r w:rsidR="0047073A" w:rsidRPr="008B39E1">
        <w:rPr>
          <w:rFonts w:ascii="Times New Roman" w:hAnsi="Times New Roman" w:cs="Times New Roman"/>
          <w:sz w:val="24"/>
          <w:szCs w:val="24"/>
        </w:rPr>
        <w:t xml:space="preserve">quality </w:t>
      </w:r>
      <w:r w:rsidR="004E67CC" w:rsidRPr="008B39E1">
        <w:rPr>
          <w:rFonts w:ascii="Times New Roman" w:hAnsi="Times New Roman" w:cs="Times New Roman"/>
          <w:sz w:val="24"/>
          <w:szCs w:val="24"/>
        </w:rPr>
        <w:t xml:space="preserve">measured using </w:t>
      </w:r>
      <w:r w:rsidR="0047073A" w:rsidRPr="008B39E1">
        <w:rPr>
          <w:rFonts w:ascii="Times New Roman" w:hAnsi="Times New Roman" w:cs="Times New Roman"/>
          <w:sz w:val="24"/>
          <w:szCs w:val="24"/>
        </w:rPr>
        <w:t xml:space="preserve">their </w:t>
      </w:r>
      <w:r w:rsidR="004E67CC" w:rsidRPr="008B39E1">
        <w:rPr>
          <w:rFonts w:ascii="Times New Roman" w:hAnsi="Times New Roman" w:cs="Times New Roman"/>
          <w:sz w:val="24"/>
          <w:szCs w:val="24"/>
        </w:rPr>
        <w:t>auditors’ assessment of internal control ineffectiveness.</w:t>
      </w:r>
      <w:r w:rsidR="00B201CC">
        <w:rPr>
          <w:rFonts w:ascii="Times New Roman" w:hAnsi="Times New Roman" w:cs="Times New Roman"/>
          <w:sz w:val="24"/>
          <w:szCs w:val="24"/>
        </w:rPr>
        <w:t xml:space="preserve"> </w:t>
      </w:r>
      <w:r w:rsidR="004E67CC" w:rsidRPr="008B39E1">
        <w:rPr>
          <w:rFonts w:ascii="Times New Roman" w:hAnsi="Times New Roman" w:cs="Times New Roman"/>
          <w:sz w:val="24"/>
          <w:szCs w:val="24"/>
        </w:rPr>
        <w:t>This study finds (1) internal controls effectiveness suffer</w:t>
      </w:r>
      <w:r w:rsidR="0047073A" w:rsidRPr="008B39E1">
        <w:rPr>
          <w:rFonts w:ascii="Times New Roman" w:hAnsi="Times New Roman" w:cs="Times New Roman"/>
          <w:sz w:val="24"/>
          <w:szCs w:val="24"/>
        </w:rPr>
        <w:t>s</w:t>
      </w:r>
      <w:r w:rsidR="004E67CC" w:rsidRPr="008B39E1">
        <w:rPr>
          <w:rFonts w:ascii="Times New Roman" w:hAnsi="Times New Roman" w:cs="Times New Roman"/>
          <w:sz w:val="24"/>
          <w:szCs w:val="24"/>
        </w:rPr>
        <w:t xml:space="preserve"> after relocation, (2) the greater the change in social capital associated with relocation, the more ineffective internal controls are in the year after relocation, and (3) </w:t>
      </w:r>
      <w:r w:rsidR="00442574" w:rsidRPr="008B39E1">
        <w:rPr>
          <w:rFonts w:ascii="Times New Roman" w:hAnsi="Times New Roman" w:cs="Times New Roman"/>
          <w:sz w:val="24"/>
          <w:szCs w:val="24"/>
        </w:rPr>
        <w:t xml:space="preserve">internal controls that are particularly dependent on </w:t>
      </w:r>
      <w:r w:rsidR="004E67CC" w:rsidRPr="008B39E1">
        <w:rPr>
          <w:rFonts w:ascii="Times New Roman" w:hAnsi="Times New Roman" w:cs="Times New Roman"/>
          <w:sz w:val="24"/>
          <w:szCs w:val="24"/>
        </w:rPr>
        <w:t xml:space="preserve">employee-experience are ineffective after relocation. </w:t>
      </w:r>
      <w:r w:rsidR="00FE71A6" w:rsidRPr="008B39E1">
        <w:rPr>
          <w:rFonts w:ascii="Times New Roman" w:hAnsi="Times New Roman" w:cs="Times New Roman"/>
          <w:sz w:val="24"/>
          <w:szCs w:val="24"/>
        </w:rPr>
        <w:t xml:space="preserve">This study contributes to </w:t>
      </w:r>
      <w:r w:rsidR="00831DEE">
        <w:rPr>
          <w:rFonts w:ascii="Times New Roman" w:hAnsi="Times New Roman" w:cs="Times New Roman"/>
          <w:sz w:val="24"/>
          <w:szCs w:val="24"/>
        </w:rPr>
        <w:t>our</w:t>
      </w:r>
      <w:r w:rsidR="00FE71A6" w:rsidRPr="008B39E1">
        <w:rPr>
          <w:rFonts w:ascii="Times New Roman" w:hAnsi="Times New Roman" w:cs="Times New Roman"/>
          <w:sz w:val="24"/>
          <w:szCs w:val="24"/>
        </w:rPr>
        <w:t xml:space="preserve"> understanding of how </w:t>
      </w:r>
      <w:r w:rsidR="00831DEE">
        <w:rPr>
          <w:rFonts w:ascii="Times New Roman" w:hAnsi="Times New Roman" w:cs="Times New Roman"/>
          <w:sz w:val="24"/>
          <w:szCs w:val="24"/>
        </w:rPr>
        <w:t>corporate decisions, social environment, and internal controls interact.</w:t>
      </w:r>
    </w:p>
    <w:p w14:paraId="31D9D0C3" w14:textId="77777777" w:rsidR="00C714BE" w:rsidRPr="008B39E1" w:rsidRDefault="00C714BE" w:rsidP="000F0F5A">
      <w:pPr>
        <w:spacing w:after="0" w:line="240" w:lineRule="auto"/>
        <w:rPr>
          <w:rFonts w:ascii="Times New Roman" w:hAnsi="Times New Roman" w:cs="Times New Roman"/>
          <w:sz w:val="24"/>
          <w:szCs w:val="24"/>
        </w:rPr>
      </w:pPr>
    </w:p>
    <w:p w14:paraId="0C2A8F33" w14:textId="2821E959" w:rsidR="00C714BE" w:rsidRPr="008B39E1" w:rsidRDefault="00C714BE" w:rsidP="000F0F5A">
      <w:pPr>
        <w:spacing w:after="0" w:line="240" w:lineRule="auto"/>
        <w:ind w:left="1170" w:hanging="1170"/>
        <w:rPr>
          <w:rFonts w:ascii="Times New Roman" w:hAnsi="Times New Roman" w:cs="Times New Roman"/>
          <w:sz w:val="24"/>
          <w:szCs w:val="24"/>
        </w:rPr>
      </w:pPr>
      <w:r w:rsidRPr="008B39E1">
        <w:rPr>
          <w:rFonts w:ascii="Times New Roman" w:hAnsi="Times New Roman" w:cs="Times New Roman"/>
          <w:b/>
          <w:bCs/>
          <w:sz w:val="24"/>
          <w:szCs w:val="24"/>
        </w:rPr>
        <w:t xml:space="preserve">Keywords: </w:t>
      </w:r>
      <w:r w:rsidRPr="008B39E1">
        <w:rPr>
          <w:rFonts w:ascii="Times New Roman" w:hAnsi="Times New Roman" w:cs="Times New Roman"/>
          <w:sz w:val="24"/>
          <w:szCs w:val="24"/>
        </w:rPr>
        <w:t xml:space="preserve">Social capital, internal control </w:t>
      </w:r>
      <w:r w:rsidR="0049544E" w:rsidRPr="008B39E1">
        <w:rPr>
          <w:rFonts w:ascii="Times New Roman" w:hAnsi="Times New Roman" w:cs="Times New Roman"/>
          <w:sz w:val="24"/>
          <w:szCs w:val="24"/>
        </w:rPr>
        <w:t>quality</w:t>
      </w:r>
      <w:r w:rsidRPr="008B39E1">
        <w:rPr>
          <w:rFonts w:ascii="Times New Roman" w:hAnsi="Times New Roman" w:cs="Times New Roman"/>
          <w:sz w:val="24"/>
          <w:szCs w:val="24"/>
        </w:rPr>
        <w:t>, employees, SOX 404</w:t>
      </w:r>
      <w:r w:rsidR="0047727F" w:rsidRPr="008B39E1">
        <w:rPr>
          <w:rFonts w:ascii="Times New Roman" w:hAnsi="Times New Roman" w:cs="Times New Roman"/>
          <w:sz w:val="24"/>
          <w:szCs w:val="24"/>
        </w:rPr>
        <w:t xml:space="preserve">, </w:t>
      </w:r>
      <w:r w:rsidR="008B1512" w:rsidRPr="008B39E1">
        <w:rPr>
          <w:rFonts w:ascii="Times New Roman" w:hAnsi="Times New Roman" w:cs="Times New Roman"/>
          <w:sz w:val="24"/>
          <w:szCs w:val="24"/>
        </w:rPr>
        <w:t>psychosocial characteristics</w:t>
      </w:r>
      <w:r w:rsidRPr="008B39E1">
        <w:rPr>
          <w:rFonts w:ascii="Times New Roman" w:hAnsi="Times New Roman" w:cs="Times New Roman"/>
          <w:sz w:val="24"/>
          <w:szCs w:val="24"/>
        </w:rPr>
        <w:t>, headquarters relocation</w:t>
      </w:r>
    </w:p>
    <w:p w14:paraId="57C46082" w14:textId="77777777" w:rsidR="00C714BE" w:rsidRPr="008B39E1" w:rsidRDefault="00C714BE" w:rsidP="000F0F5A">
      <w:pPr>
        <w:spacing w:after="0" w:line="240" w:lineRule="auto"/>
        <w:rPr>
          <w:rFonts w:ascii="Times New Roman" w:hAnsi="Times New Roman" w:cs="Times New Roman"/>
          <w:sz w:val="24"/>
          <w:szCs w:val="24"/>
        </w:rPr>
      </w:pPr>
    </w:p>
    <w:p w14:paraId="4602E447" w14:textId="77777777" w:rsidR="00C714BE" w:rsidRPr="008B39E1" w:rsidRDefault="00C714BE" w:rsidP="000F0F5A">
      <w:pPr>
        <w:spacing w:after="0" w:line="240" w:lineRule="auto"/>
        <w:rPr>
          <w:rFonts w:ascii="Times New Roman" w:hAnsi="Times New Roman" w:cs="Times New Roman"/>
          <w:sz w:val="24"/>
          <w:szCs w:val="24"/>
        </w:rPr>
      </w:pPr>
    </w:p>
    <w:p w14:paraId="1264AE64" w14:textId="77777777" w:rsidR="00A25B6D" w:rsidRPr="008B39E1" w:rsidRDefault="00A25B6D"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br w:type="page"/>
      </w:r>
    </w:p>
    <w:p w14:paraId="478D594C" w14:textId="77777777" w:rsidR="00385A6D" w:rsidRPr="008B39E1" w:rsidRDefault="00385A6D" w:rsidP="00981B19">
      <w:pPr>
        <w:pStyle w:val="ListParagraph"/>
        <w:numPr>
          <w:ilvl w:val="0"/>
          <w:numId w:val="2"/>
        </w:numPr>
        <w:spacing w:after="0" w:line="48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lastRenderedPageBreak/>
        <w:t>INTRODUCTION</w:t>
      </w:r>
    </w:p>
    <w:p w14:paraId="14A7972C" w14:textId="2C5F9DD1"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Studies have documented that two to five percent of firms relocate their headquarters each year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{"citationItems":[{"id":"ITEM-1","itemData":{"DOI":"10.1016/j.regsciurbeco.2008.07.001","ISSN":"01660462","abstract":"This paper analyzes decisions regarding the location of headquarters in the U.S. for the period 1996-2001. Using a unique fi{ligature}rm-level database of about 30,000 U.S. headquarters, we study the fi{ligature}rm- and location-specifi{ligature}c characteristics of headquarters that relocated over that period. Headquarters are concentrated, increasingly so in medium-sized service-oriented metropolitan areas, and the rate of relocation is signifi{ligature}cant (5% a year). Larger (in terms of sales) and younger headquarters tend to relocate more often, as well as larger (in terms of the number of headquarters) and foreign fi{ligature}rms, and fi{ligature}rms that are the outcome of a merger. Headquarters relocate to metropolitan areas with good airport facilities-with a dramatic impact, low corporate taxes, low average wages, high level of business services, same industry specialization, and agglomeration of headquarters in the same sector of activity-with all agglomeration variables having an important and signifi{ligature}cant impact. © 2008.","author":[{"dropping-particle":"","family":"Strauss-Kahn","given":"Vanessa","non-dropping-particle":"","parse-names":false,"suffix":""},{"dropping-particle":"","family":"Vives","given":"Xavier","non-dropping-particle":"","parse-names":false,"suffix":""}],"container-title":"Regional Science and Urban Economics","id":"ITEM-1","issue":"2","issued":{"date-parts":[["2009"]]},"page":"168-186","publisher":"Elsevier B.V.","title":"Why and where do headquarters move?","type":"article-journal","volume":"39"},"uris":["http://www.mendeley.com/documents/?uuid=8627f5fd-d267-4fac-9fb6-174d375ad964"]},{"id":"ITEM-2","itemData":{"DOI":"10.1016/j.jacceco.2017.06.003","ISSN":"01654101","abstract":"We examine the association between employee quality and financial reporting outcomes. Using the average workforce education level in MSA(s) where the firm operates as a proxy for employee quality, we find that firms with a high-quality workforce exhibit higher accruals quality, fewer internal control violations, and fewer restatements. These firms also issue superior management forecasts, in terms of frequency, timeliness, accuracy, precision, and bias. Employees located at the firm's headquarters primarily drive our findings. Our evidence suggests employee quality, particularly at a firm's headquarters, is associated with both mandatory and voluntary disclosure quality.","author":[{"dropping-particle":"","family":"Call","given":"Andrew C.","non-dropping-particle":"","parse-names":false,"suffix":""},{"dropping-particle":"","family":"Campbell","given":"John L.","non-dropping-particle":"","parse-names":false,"suffix":""},{"dropping-particle":"","family":"Dhaliwal","given":"Dan S.","non-dropping-particle":"","parse-names":false,"suffix":""},{"dropping-particle":"","family":"Moon","given":"James R.","non-dropping-particle":"","parse-names":false,"suffix":""}],"container-title":"Journal of Accounting and Economics","id":"ITEM-2","issue":"1","issued":{"date-parts":[["2017"]]},"page":"123-149","publisher":"Elsevier B.V.","title":"Employee quality and financial reporting outcomes","type":"article-journal","volume":"64"},"uris":["http://www.mendeley.com/documents/?uuid=c9062ee3-1f5b-4c2c-b8f5-996a0e9cb119"]}],"mendeley":{"formattedCitation":"(Strauss-Kahn and Vives 2009; Call et al. 2017)","manualFormatting":"(Strauss-Kahn and Vives 2009; Call, Campbell, Dhaliwal, and Moon Jr. 2017)","plainTextFormattedCitation":"(Strauss-Kahn and Vives 2009; Call et al. 2017)","previouslyFormattedCitation":"(Strauss-Kahn and Vives 2009; Call et al. 2017)"},"properties":{"noteIndex":0},"schema":"https://github.com/citation-style-language/schema/raw/master/csl-citation.json"}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(Strauss-Kahn and Vives</w:t>
      </w:r>
      <w:r w:rsidR="00594997"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2009; Call, Campbell, Dhaliwal, and Moon Jr.</w:t>
      </w:r>
      <w:r w:rsidR="00594997"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2017)</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w:t>
      </w:r>
      <w:r w:rsidRPr="008B39E1">
        <w:rPr>
          <w:rStyle w:val="FootnoteReference"/>
          <w:rFonts w:ascii="Times New Roman" w:hAnsi="Times New Roman" w:cs="Times New Roman"/>
        </w:rPr>
        <w:footnoteReference w:id="1"/>
      </w:r>
      <w:r w:rsidRPr="008B39E1">
        <w:rPr>
          <w:rFonts w:ascii="Times New Roman" w:hAnsi="Times New Roman" w:cs="Times New Roman"/>
          <w:sz w:val="24"/>
          <w:szCs w:val="24"/>
        </w:rPr>
        <w:t xml:space="preserve"> Prior research in accounting and finance has generally focused on motivations for relocations and, to a lesser extent on relocation outcomes such as firm profitability or market reactions. However, one overlooked factor is that relocations can engender substantial employee disruption through turnover or by necessitating adjustments by employees to their new environments. While such disruption can permeate a firm’s operations, we focus on its impact on one aspect, the firm’s quality of internal control over financial reporting (</w:t>
      </w:r>
      <w:proofErr w:type="spellStart"/>
      <w:r w:rsidRPr="008B39E1">
        <w:rPr>
          <w:rFonts w:ascii="Times New Roman" w:hAnsi="Times New Roman" w:cs="Times New Roman"/>
          <w:sz w:val="24"/>
          <w:szCs w:val="24"/>
        </w:rPr>
        <w:t>ICFR</w:t>
      </w:r>
      <w:proofErr w:type="spellEnd"/>
      <w:r w:rsidRPr="008B39E1">
        <w:rPr>
          <w:rFonts w:ascii="Times New Roman" w:hAnsi="Times New Roman" w:cs="Times New Roman"/>
          <w:sz w:val="24"/>
          <w:szCs w:val="24"/>
        </w:rPr>
        <w:t xml:space="preserve">). This investigation is relevant because </w:t>
      </w:r>
      <w:proofErr w:type="spellStart"/>
      <w:r w:rsidRPr="008B39E1">
        <w:rPr>
          <w:rFonts w:ascii="Times New Roman" w:hAnsi="Times New Roman" w:cs="Times New Roman"/>
          <w:sz w:val="24"/>
          <w:szCs w:val="24"/>
        </w:rPr>
        <w:t>ICFR</w:t>
      </w:r>
      <w:proofErr w:type="spellEnd"/>
      <w:r w:rsidRPr="008B39E1">
        <w:rPr>
          <w:rFonts w:ascii="Times New Roman" w:hAnsi="Times New Roman" w:cs="Times New Roman"/>
          <w:sz w:val="24"/>
          <w:szCs w:val="24"/>
        </w:rPr>
        <w:t xml:space="preserve"> is an underlying determinant for a firm’s financial reporting quality and </w:t>
      </w:r>
      <w:proofErr w:type="spellStart"/>
      <w:r w:rsidRPr="008B39E1">
        <w:rPr>
          <w:rFonts w:ascii="Times New Roman" w:hAnsi="Times New Roman" w:cs="Times New Roman"/>
          <w:sz w:val="24"/>
          <w:szCs w:val="24"/>
        </w:rPr>
        <w:t>ICFR</w:t>
      </w:r>
      <w:proofErr w:type="spellEnd"/>
      <w:r w:rsidRPr="008B39E1">
        <w:rPr>
          <w:rFonts w:ascii="Times New Roman" w:hAnsi="Times New Roman" w:cs="Times New Roman"/>
          <w:sz w:val="24"/>
          <w:szCs w:val="24"/>
        </w:rPr>
        <w:t xml:space="preserve"> quality is highly dependent on employee stability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{"citationItems":[{"id":"ITEM-1","itemData":{"DOI":"10.1002/9781118979037.ch75","author":[{"dropping-particle":"","family":"PCAOB","given":"","non-dropping-particle":"","parse-names":false,"suffix":""}],"id":"ITEM-1","issued":{"date-parts":[["2010"]]},"title":"PCAOB 12 Identifying and Assessing Risks of Material Misstatement","type":"legislation"},"uris":["http://www.mendeley.com/documents/?uuid=6f2d6ad5-9d77-4e61-8245-99498afa917e"]},{"id":"ITEM-2","itemData":{"URL":"www.coso.org","author":[{"dropping-particle":"","family":"COSO","given":"","non-dropping-particle":"","parse-names":false,"suffix":""}],"id":"ITEM-2","issued":{"date-parts":[["2013"]]},"title":"Internal Control—Integrated Framework","type":"webpage"},"uris":["http://www.mendeley.com/documents/?uuid=9a6aeab5-cdb0-4783-956a-957b74f376cc"]},{"id":"ITEM-3","itemData":{"author":[{"dropping-particle":"","family":"Securities and Exchange Commission","given":"","non-dropping-particle":"","parse-names":false,"suffix":""}],"id":"ITEM-3","issued":{"date-parts":[["2019"]]},"title":"Modernization of Regulation S-K Items 101, 103, and 105","type":"legislation"},"uris":["http://www.mendeley.com/documents/?uuid=dc48080b-100c-4a72-b3f8-f8b3a478f352"]}],"mendeley":{"formattedCitation":"(PCAOB 2010; COSO 2013; Securities and Exchange Commission 2019)","manualFormatting":"(PCAOB 2010; COSO 2013; SEC 2019)","plainTextFormattedCitation":"(PCAOB 2010; COSO 2013; Securities and Exchange Commission 2019)","previouslyFormattedCitation":"(PCAOB 2010; COSO 2013; Securities and Exchange Commission 2019)"},"properties":{"noteIndex":0},"schema":"https://github.com/citation-style-language/schema/raw/master/csl-citation.json"}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(PCAOB</w:t>
      </w:r>
      <w:r w:rsidR="00442574"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2010; COSO</w:t>
      </w:r>
      <w:r w:rsidR="00442574"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2013; SEC</w:t>
      </w:r>
      <w:r w:rsidR="00442574"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2019)</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w:t>
      </w:r>
    </w:p>
    <w:p w14:paraId="0EAB345C" w14:textId="7FCAF8F9" w:rsidR="00B00955" w:rsidRPr="008B39E1" w:rsidRDefault="00385A6D" w:rsidP="00981B19">
      <w:pPr>
        <w:spacing w:after="0" w:line="480" w:lineRule="auto"/>
        <w:ind w:firstLine="720"/>
        <w:rPr>
          <w:rFonts w:ascii="Times New Roman" w:hAnsi="Times New Roman" w:cs="Times New Roman"/>
        </w:rPr>
      </w:pPr>
      <w:r w:rsidRPr="008B39E1">
        <w:rPr>
          <w:rFonts w:ascii="Times New Roman" w:hAnsi="Times New Roman" w:cs="Times New Roman"/>
          <w:sz w:val="24"/>
          <w:szCs w:val="24"/>
        </w:rPr>
        <w:t xml:space="preserve">We examine the potential negative effects of employee disruptions surrounding headquarter relocations on firms’ internal control quality. </w:t>
      </w:r>
      <w:r w:rsidR="00B00955" w:rsidRPr="008B39E1">
        <w:rPr>
          <w:rFonts w:ascii="Times New Roman" w:hAnsi="Times New Roman" w:cs="Times New Roman"/>
          <w:sz w:val="24"/>
          <w:szCs w:val="24"/>
        </w:rPr>
        <w:t xml:space="preserve">Anecdotal evidence provides some instances of </w:t>
      </w:r>
      <w:r w:rsidR="00B331BA" w:rsidRPr="008B39E1">
        <w:rPr>
          <w:rFonts w:ascii="Times New Roman" w:hAnsi="Times New Roman" w:cs="Times New Roman"/>
          <w:sz w:val="24"/>
          <w:szCs w:val="24"/>
        </w:rPr>
        <w:t xml:space="preserve">such </w:t>
      </w:r>
      <w:r w:rsidR="00B00955" w:rsidRPr="008B39E1">
        <w:rPr>
          <w:rFonts w:ascii="Times New Roman" w:hAnsi="Times New Roman" w:cs="Times New Roman"/>
          <w:sz w:val="24"/>
          <w:szCs w:val="24"/>
        </w:rPr>
        <w:t xml:space="preserve">employee disruptions. For example, </w:t>
      </w:r>
      <w:r w:rsidR="00B00955" w:rsidRPr="008B39E1">
        <w:rPr>
          <w:rFonts w:ascii="Times New Roman" w:hAnsi="Times New Roman" w:cs="Times New Roman"/>
        </w:rPr>
        <w:t xml:space="preserve">Jamba, Inc. disclosed the following </w:t>
      </w:r>
      <w:r w:rsidR="000A224C" w:rsidRPr="008B39E1">
        <w:rPr>
          <w:rFonts w:ascii="Times New Roman" w:hAnsi="Times New Roman" w:cs="Times New Roman"/>
        </w:rPr>
        <w:t>a</w:t>
      </w:r>
      <w:r w:rsidR="00745619" w:rsidRPr="008B39E1">
        <w:rPr>
          <w:rFonts w:ascii="Times New Roman" w:hAnsi="Times New Roman" w:cs="Times New Roman"/>
        </w:rPr>
        <w:t>fter</w:t>
      </w:r>
      <w:r w:rsidR="000A224C" w:rsidRPr="008B39E1">
        <w:rPr>
          <w:rFonts w:ascii="Times New Roman" w:hAnsi="Times New Roman" w:cs="Times New Roman"/>
        </w:rPr>
        <w:t xml:space="preserve"> </w:t>
      </w:r>
      <w:r w:rsidR="005C21B8" w:rsidRPr="008B39E1">
        <w:rPr>
          <w:rFonts w:ascii="Times New Roman" w:hAnsi="Times New Roman" w:cs="Times New Roman"/>
        </w:rPr>
        <w:t xml:space="preserve">a </w:t>
      </w:r>
      <w:r w:rsidR="000A224C" w:rsidRPr="008B39E1">
        <w:rPr>
          <w:rFonts w:ascii="Times New Roman" w:hAnsi="Times New Roman" w:cs="Times New Roman"/>
        </w:rPr>
        <w:t>relocation in 201</w:t>
      </w:r>
      <w:r w:rsidR="00F135A5" w:rsidRPr="008B39E1">
        <w:rPr>
          <w:rFonts w:ascii="Times New Roman" w:hAnsi="Times New Roman" w:cs="Times New Roman"/>
        </w:rPr>
        <w:t>6</w:t>
      </w:r>
      <w:r w:rsidR="00B00955" w:rsidRPr="008B39E1">
        <w:rPr>
          <w:rFonts w:ascii="Times New Roman" w:hAnsi="Times New Roman" w:cs="Times New Roman"/>
        </w:rPr>
        <w:t>:</w:t>
      </w:r>
      <w:r w:rsidR="00B00955" w:rsidRPr="008B39E1">
        <w:rPr>
          <w:rStyle w:val="FootnoteReference"/>
          <w:rFonts w:ascii="Times New Roman" w:hAnsi="Times New Roman" w:cs="Times New Roman"/>
        </w:rPr>
        <w:t xml:space="preserve"> </w:t>
      </w:r>
      <w:r w:rsidR="00B00955" w:rsidRPr="008B39E1">
        <w:rPr>
          <w:rStyle w:val="FootnoteReference"/>
          <w:rFonts w:ascii="Times New Roman" w:hAnsi="Times New Roman" w:cs="Times New Roman"/>
        </w:rPr>
        <w:footnoteReference w:id="2"/>
      </w:r>
    </w:p>
    <w:p w14:paraId="67F1FC66" w14:textId="2DC10296" w:rsidR="00055233" w:rsidRDefault="00B00955" w:rsidP="005C137E">
      <w:pPr>
        <w:spacing w:after="0" w:line="240" w:lineRule="auto"/>
        <w:ind w:left="288" w:right="288"/>
        <w:rPr>
          <w:rFonts w:ascii="Times New Roman" w:hAnsi="Times New Roman" w:cs="Times New Roman"/>
          <w:sz w:val="24"/>
          <w:szCs w:val="24"/>
        </w:rPr>
      </w:pPr>
      <w:r w:rsidRPr="008B39E1">
        <w:rPr>
          <w:rFonts w:ascii="Times New Roman" w:hAnsi="Times New Roman" w:cs="Times New Roman"/>
          <w:sz w:val="24"/>
          <w:szCs w:val="24"/>
        </w:rPr>
        <w:t>“[Relocation] resulted in significant employee turnover and the planned and unplanned loss of personnel led to business disruptions stemming from delays in filling vacant positions and a lack of personnel with institutional or procedural knowledge and experience”</w:t>
      </w:r>
      <w:r w:rsidR="002D5AD2" w:rsidRPr="008B39E1">
        <w:rPr>
          <w:rFonts w:ascii="Times New Roman" w:hAnsi="Times New Roman" w:cs="Times New Roman"/>
          <w:sz w:val="24"/>
          <w:szCs w:val="24"/>
        </w:rPr>
        <w:t xml:space="preserve"> (</w:t>
      </w:r>
      <w:r w:rsidR="00697208" w:rsidRPr="008B39E1">
        <w:rPr>
          <w:rFonts w:ascii="Times New Roman" w:hAnsi="Times New Roman" w:cs="Times New Roman"/>
          <w:sz w:val="24"/>
          <w:szCs w:val="24"/>
        </w:rPr>
        <w:t>Jamba, Inc.</w:t>
      </w:r>
      <w:r w:rsidR="00515CC7" w:rsidRPr="008B39E1">
        <w:rPr>
          <w:rFonts w:ascii="Times New Roman" w:hAnsi="Times New Roman" w:cs="Times New Roman"/>
          <w:sz w:val="24"/>
          <w:szCs w:val="24"/>
        </w:rPr>
        <w:t>, 2017</w:t>
      </w:r>
      <w:r w:rsidR="00697208" w:rsidRPr="008B39E1">
        <w:rPr>
          <w:rFonts w:ascii="Times New Roman" w:hAnsi="Times New Roman" w:cs="Times New Roman"/>
          <w:sz w:val="24"/>
          <w:szCs w:val="24"/>
        </w:rPr>
        <w:t xml:space="preserve">, </w:t>
      </w:r>
      <w:r w:rsidR="002D5AD2" w:rsidRPr="008B39E1">
        <w:rPr>
          <w:rFonts w:ascii="Times New Roman" w:hAnsi="Times New Roman" w:cs="Times New Roman"/>
          <w:sz w:val="24"/>
          <w:szCs w:val="24"/>
        </w:rPr>
        <w:t>p. 15)</w:t>
      </w:r>
      <w:r w:rsidR="006B04BA" w:rsidRPr="008B39E1">
        <w:rPr>
          <w:rFonts w:ascii="Times New Roman" w:hAnsi="Times New Roman" w:cs="Times New Roman"/>
          <w:sz w:val="24"/>
          <w:szCs w:val="24"/>
        </w:rPr>
        <w:t>.</w:t>
      </w:r>
      <w:r w:rsidRPr="008B39E1">
        <w:rPr>
          <w:rFonts w:ascii="Times New Roman" w:hAnsi="Times New Roman" w:cs="Times New Roman"/>
          <w:sz w:val="24"/>
          <w:szCs w:val="24"/>
        </w:rPr>
        <w:t xml:space="preserve"> </w:t>
      </w:r>
    </w:p>
    <w:p w14:paraId="4C1B2BCE" w14:textId="77777777" w:rsidR="005C137E" w:rsidRPr="008B39E1" w:rsidRDefault="005C137E" w:rsidP="005C137E">
      <w:pPr>
        <w:spacing w:after="0" w:line="240" w:lineRule="auto"/>
        <w:ind w:left="288" w:right="288"/>
        <w:rPr>
          <w:rFonts w:ascii="Times New Roman" w:hAnsi="Times New Roman" w:cs="Times New Roman"/>
          <w:sz w:val="24"/>
          <w:szCs w:val="24"/>
        </w:rPr>
      </w:pPr>
    </w:p>
    <w:p w14:paraId="1A5F7494" w14:textId="44121329" w:rsidR="00385A6D" w:rsidRPr="008B39E1" w:rsidRDefault="00385A6D" w:rsidP="00981B19">
      <w:pPr>
        <w:spacing w:after="0" w:line="480" w:lineRule="auto"/>
        <w:rPr>
          <w:rFonts w:ascii="Times New Roman" w:hAnsi="Times New Roman" w:cs="Times New Roman"/>
          <w:sz w:val="24"/>
          <w:szCs w:val="24"/>
        </w:rPr>
      </w:pPr>
      <w:r w:rsidRPr="008B39E1">
        <w:rPr>
          <w:rFonts w:ascii="Times New Roman" w:hAnsi="Times New Roman" w:cs="Times New Roman"/>
          <w:sz w:val="24"/>
          <w:szCs w:val="24"/>
        </w:rPr>
        <w:t xml:space="preserve">We start with a basic research question: Are corporate headquarter relocations associated, on average, with lower internal control quality following relocation? Employees participate in the day-to-day operations of internal controls, acquiring experience and knowledge necessary for proper internal control functions. With relocation, employee disruptions </w:t>
      </w:r>
      <w:r w:rsidR="006A4C2C" w:rsidRPr="008B39E1">
        <w:rPr>
          <w:rFonts w:ascii="Times New Roman" w:hAnsi="Times New Roman" w:cs="Times New Roman"/>
          <w:sz w:val="24"/>
          <w:szCs w:val="24"/>
        </w:rPr>
        <w:t>occur,</w:t>
      </w:r>
      <w:r w:rsidRPr="008B39E1">
        <w:rPr>
          <w:rFonts w:ascii="Times New Roman" w:hAnsi="Times New Roman" w:cs="Times New Roman"/>
          <w:sz w:val="24"/>
          <w:szCs w:val="24"/>
        </w:rPr>
        <w:t xml:space="preserve"> and internal </w:t>
      </w:r>
      <w:r w:rsidRPr="008B39E1">
        <w:rPr>
          <w:rFonts w:ascii="Times New Roman" w:hAnsi="Times New Roman" w:cs="Times New Roman"/>
          <w:sz w:val="24"/>
          <w:szCs w:val="24"/>
        </w:rPr>
        <w:lastRenderedPageBreak/>
        <w:t xml:space="preserve">control operations can suffer. We then examine two important cross-sectional variations in the potential effects of employee disruption on internal control quality. First, does the change in internal control quality vary with the extent of change in the psychosocial characteristics – or social capital – between the new and old firm location? Research in economics and sociology show that psychosocial characteristics – such as social and behavior norms and networks of social and recreational activities – of an employee’s community influences his/her relocation decisions (Rau, Popp, </w:t>
      </w:r>
      <w:proofErr w:type="spellStart"/>
      <w:r w:rsidRPr="008B39E1">
        <w:rPr>
          <w:rFonts w:ascii="Times New Roman" w:hAnsi="Times New Roman" w:cs="Times New Roman"/>
          <w:sz w:val="24"/>
          <w:szCs w:val="24"/>
        </w:rPr>
        <w:t>Namberger</w:t>
      </w:r>
      <w:proofErr w:type="spellEnd"/>
      <w:r w:rsidRPr="008B39E1">
        <w:rPr>
          <w:rFonts w:ascii="Times New Roman" w:hAnsi="Times New Roman" w:cs="Times New Roman"/>
          <w:sz w:val="24"/>
          <w:szCs w:val="24"/>
        </w:rPr>
        <w:t xml:space="preserve">, and </w:t>
      </w:r>
      <w:proofErr w:type="spellStart"/>
      <w:r w:rsidRPr="008B39E1">
        <w:rPr>
          <w:rFonts w:ascii="Times New Roman" w:hAnsi="Times New Roman" w:cs="Times New Roman"/>
          <w:sz w:val="24"/>
          <w:szCs w:val="24"/>
        </w:rPr>
        <w:t>Mogele</w:t>
      </w:r>
      <w:proofErr w:type="spellEnd"/>
      <w:r w:rsidR="00626C86" w:rsidRPr="008B39E1">
        <w:rPr>
          <w:rFonts w:ascii="Times New Roman" w:hAnsi="Times New Roman" w:cs="Times New Roman"/>
          <w:sz w:val="24"/>
          <w:szCs w:val="24"/>
        </w:rPr>
        <w:t>,</w:t>
      </w:r>
      <w:r w:rsidRPr="008B39E1">
        <w:rPr>
          <w:rFonts w:ascii="Times New Roman" w:hAnsi="Times New Roman" w:cs="Times New Roman"/>
          <w:sz w:val="24"/>
          <w:szCs w:val="24"/>
        </w:rPr>
        <w:t xml:space="preserve"> 2019; Zarabi and Lord</w:t>
      </w:r>
      <w:r w:rsidR="00626C86" w:rsidRPr="008B39E1">
        <w:rPr>
          <w:rFonts w:ascii="Times New Roman" w:hAnsi="Times New Roman" w:cs="Times New Roman"/>
          <w:sz w:val="24"/>
          <w:szCs w:val="24"/>
        </w:rPr>
        <w:t>,</w:t>
      </w:r>
      <w:r w:rsidRPr="008B39E1">
        <w:rPr>
          <w:rFonts w:ascii="Times New Roman" w:hAnsi="Times New Roman" w:cs="Times New Roman"/>
          <w:sz w:val="24"/>
          <w:szCs w:val="24"/>
        </w:rPr>
        <w:t xml:space="preserve"> 2019; </w:t>
      </w:r>
      <w:proofErr w:type="spellStart"/>
      <w:r w:rsidRPr="008B39E1">
        <w:rPr>
          <w:rFonts w:ascii="Times New Roman" w:hAnsi="Times New Roman" w:cs="Times New Roman"/>
          <w:sz w:val="24"/>
          <w:szCs w:val="24"/>
        </w:rPr>
        <w:t>Sprumont</w:t>
      </w:r>
      <w:proofErr w:type="spellEnd"/>
      <w:r w:rsidRPr="008B39E1">
        <w:rPr>
          <w:rFonts w:ascii="Times New Roman" w:hAnsi="Times New Roman" w:cs="Times New Roman"/>
          <w:sz w:val="24"/>
          <w:szCs w:val="24"/>
        </w:rPr>
        <w:t>, Benam, and Viti</w:t>
      </w:r>
      <w:r w:rsidR="00626C86" w:rsidRPr="008B39E1">
        <w:rPr>
          <w:rFonts w:ascii="Times New Roman" w:hAnsi="Times New Roman" w:cs="Times New Roman"/>
          <w:sz w:val="24"/>
          <w:szCs w:val="24"/>
        </w:rPr>
        <w:t>,</w:t>
      </w:r>
      <w:r w:rsidRPr="008B39E1">
        <w:rPr>
          <w:rFonts w:ascii="Times New Roman" w:hAnsi="Times New Roman" w:cs="Times New Roman"/>
          <w:sz w:val="24"/>
          <w:szCs w:val="24"/>
        </w:rPr>
        <w:t xml:space="preserve"> 2020). </w:t>
      </w:r>
      <w:r w:rsidRPr="008B39E1" w:rsidDel="003C639F">
        <w:rPr>
          <w:rFonts w:ascii="Times New Roman" w:hAnsi="Times New Roman" w:cs="Times New Roman"/>
          <w:sz w:val="24"/>
          <w:szCs w:val="24"/>
        </w:rPr>
        <w:t xml:space="preserve">Thus, the extent of employee disruption that a relocating firm would experience depends on the extent of </w:t>
      </w:r>
      <w:r w:rsidRPr="008B39E1" w:rsidDel="003C639F">
        <w:rPr>
          <w:rFonts w:ascii="Times New Roman" w:hAnsi="Times New Roman" w:cs="Times New Roman"/>
          <w:i/>
          <w:iCs/>
          <w:sz w:val="24"/>
          <w:szCs w:val="24"/>
        </w:rPr>
        <w:t>change</w:t>
      </w:r>
      <w:r w:rsidRPr="008B39E1" w:rsidDel="003C639F">
        <w:rPr>
          <w:rFonts w:ascii="Times New Roman" w:hAnsi="Times New Roman" w:cs="Times New Roman"/>
          <w:sz w:val="24"/>
          <w:szCs w:val="24"/>
        </w:rPr>
        <w:t xml:space="preserve"> in the local psychosocial characteristics engendered by the relocation.</w:t>
      </w:r>
      <w:r w:rsidR="006D27C5" w:rsidRPr="008B39E1">
        <w:rPr>
          <w:rFonts w:ascii="Times New Roman" w:hAnsi="Times New Roman" w:cs="Times New Roman"/>
          <w:sz w:val="24"/>
          <w:szCs w:val="24"/>
        </w:rPr>
        <w:t xml:space="preserve"> </w:t>
      </w:r>
      <w:r w:rsidRPr="008B39E1">
        <w:rPr>
          <w:rFonts w:ascii="Times New Roman" w:hAnsi="Times New Roman" w:cs="Times New Roman"/>
          <w:sz w:val="24"/>
          <w:szCs w:val="24"/>
        </w:rPr>
        <w:t xml:space="preserve">Second, does the change in internal control quality vary with the extent to which </w:t>
      </w:r>
      <w:r w:rsidR="00564111" w:rsidRPr="008B39E1">
        <w:rPr>
          <w:rFonts w:ascii="Times New Roman" w:hAnsi="Times New Roman" w:cs="Times New Roman"/>
          <w:sz w:val="24"/>
          <w:szCs w:val="24"/>
        </w:rPr>
        <w:t xml:space="preserve">the </w:t>
      </w:r>
      <w:r w:rsidR="00C539C9" w:rsidRPr="008B39E1">
        <w:rPr>
          <w:rFonts w:ascii="Times New Roman" w:hAnsi="Times New Roman" w:cs="Times New Roman"/>
          <w:sz w:val="24"/>
          <w:szCs w:val="24"/>
        </w:rPr>
        <w:t>effectiveness</w:t>
      </w:r>
      <w:r w:rsidR="00564111" w:rsidRPr="008B39E1">
        <w:rPr>
          <w:rFonts w:ascii="Times New Roman" w:hAnsi="Times New Roman" w:cs="Times New Roman"/>
          <w:sz w:val="24"/>
          <w:szCs w:val="24"/>
        </w:rPr>
        <w:t xml:space="preserve"> of </w:t>
      </w:r>
      <w:r w:rsidR="00281963" w:rsidRPr="008B39E1">
        <w:rPr>
          <w:rFonts w:ascii="Times New Roman" w:hAnsi="Times New Roman" w:cs="Times New Roman"/>
          <w:sz w:val="24"/>
          <w:szCs w:val="24"/>
        </w:rPr>
        <w:t>control</w:t>
      </w:r>
      <w:r w:rsidR="00564111" w:rsidRPr="008B39E1">
        <w:rPr>
          <w:rFonts w:ascii="Times New Roman" w:hAnsi="Times New Roman" w:cs="Times New Roman"/>
          <w:sz w:val="24"/>
          <w:szCs w:val="24"/>
        </w:rPr>
        <w:t>s</w:t>
      </w:r>
      <w:r w:rsidRPr="008B39E1">
        <w:rPr>
          <w:rFonts w:ascii="Times New Roman" w:hAnsi="Times New Roman" w:cs="Times New Roman"/>
          <w:sz w:val="24"/>
          <w:szCs w:val="24"/>
        </w:rPr>
        <w:t xml:space="preserve"> is dependent on employee </w:t>
      </w:r>
      <w:r w:rsidR="00281963" w:rsidRPr="008B39E1">
        <w:rPr>
          <w:rFonts w:ascii="Times New Roman" w:hAnsi="Times New Roman" w:cs="Times New Roman"/>
          <w:sz w:val="24"/>
          <w:szCs w:val="24"/>
        </w:rPr>
        <w:t>experience</w:t>
      </w:r>
      <w:r w:rsidRPr="008B39E1">
        <w:rPr>
          <w:rFonts w:ascii="Times New Roman" w:hAnsi="Times New Roman" w:cs="Times New Roman"/>
          <w:sz w:val="24"/>
          <w:szCs w:val="24"/>
        </w:rPr>
        <w:t>? Companies</w:t>
      </w:r>
      <w:r w:rsidR="00564111" w:rsidRPr="008B39E1">
        <w:rPr>
          <w:rFonts w:ascii="Times New Roman" w:hAnsi="Times New Roman" w:cs="Times New Roman"/>
          <w:sz w:val="24"/>
          <w:szCs w:val="24"/>
        </w:rPr>
        <w:t>’</w:t>
      </w:r>
      <w:r w:rsidR="00C539C9" w:rsidRPr="008B39E1">
        <w:rPr>
          <w:rFonts w:ascii="Times New Roman" w:hAnsi="Times New Roman" w:cs="Times New Roman"/>
          <w:sz w:val="24"/>
          <w:szCs w:val="24"/>
        </w:rPr>
        <w:t xml:space="preserve"> </w:t>
      </w:r>
      <w:r w:rsidRPr="008B39E1">
        <w:rPr>
          <w:rFonts w:ascii="Times New Roman" w:hAnsi="Times New Roman" w:cs="Times New Roman"/>
          <w:sz w:val="24"/>
          <w:szCs w:val="24"/>
        </w:rPr>
        <w:t>internal control processes range from automatic to manual and simple to complex</w:t>
      </w:r>
      <w:r w:rsidR="00C539C9" w:rsidRPr="008B39E1">
        <w:rPr>
          <w:rFonts w:ascii="Times New Roman" w:hAnsi="Times New Roman" w:cs="Times New Roman"/>
          <w:sz w:val="24"/>
          <w:szCs w:val="24"/>
        </w:rPr>
        <w:t xml:space="preserve"> </w:t>
      </w:r>
      <w:r w:rsidR="004D08AE" w:rsidRPr="008B39E1">
        <w:rPr>
          <w:rFonts w:ascii="Times New Roman" w:hAnsi="Times New Roman" w:cs="Times New Roman"/>
          <w:sz w:val="24"/>
          <w:szCs w:val="24"/>
        </w:rPr>
        <w:t>and</w:t>
      </w:r>
      <w:r w:rsidR="00FF618B" w:rsidRPr="008B39E1">
        <w:rPr>
          <w:rFonts w:ascii="Times New Roman" w:hAnsi="Times New Roman" w:cs="Times New Roman"/>
          <w:sz w:val="24"/>
          <w:szCs w:val="24"/>
        </w:rPr>
        <w:t xml:space="preserve"> vary in the degree of </w:t>
      </w:r>
      <w:proofErr w:type="gramStart"/>
      <w:r w:rsidR="00FF618B" w:rsidRPr="008B39E1">
        <w:rPr>
          <w:rFonts w:ascii="Times New Roman" w:hAnsi="Times New Roman" w:cs="Times New Roman"/>
          <w:sz w:val="24"/>
          <w:szCs w:val="24"/>
        </w:rPr>
        <w:t>needed employee experience</w:t>
      </w:r>
      <w:proofErr w:type="gramEnd"/>
      <w:r w:rsidRPr="008B39E1">
        <w:rPr>
          <w:rFonts w:ascii="Times New Roman" w:hAnsi="Times New Roman" w:cs="Times New Roman"/>
          <w:sz w:val="24"/>
          <w:szCs w:val="24"/>
        </w:rPr>
        <w:t xml:space="preserve">. </w:t>
      </w:r>
      <w:r w:rsidR="00FF618B" w:rsidRPr="008B39E1">
        <w:rPr>
          <w:rFonts w:ascii="Times New Roman" w:hAnsi="Times New Roman" w:cs="Times New Roman"/>
          <w:sz w:val="24"/>
          <w:szCs w:val="24"/>
        </w:rPr>
        <w:t>A relocation can break the continuity of employee experience that internal controls depend on and thereby negatively impact internal control effectiveness.</w:t>
      </w:r>
      <w:r w:rsidRPr="008B39E1">
        <w:rPr>
          <w:rFonts w:ascii="Times New Roman" w:hAnsi="Times New Roman" w:cs="Times New Roman"/>
          <w:sz w:val="24"/>
          <w:szCs w:val="24"/>
        </w:rPr>
        <w:t xml:space="preserve"> </w:t>
      </w:r>
    </w:p>
    <w:p w14:paraId="5F3C3BFE" w14:textId="76399644"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We define corporate headquarters as the physical location housing the firm’s centralized administrative and decision-making functions (i.e., legal, finance, accounting, human resources, and executives) and the employees performing those functions.</w:t>
      </w:r>
      <w:r w:rsidRPr="008B39E1">
        <w:rPr>
          <w:rStyle w:val="FootnoteReference"/>
          <w:rFonts w:ascii="Times New Roman" w:hAnsi="Times New Roman" w:cs="Times New Roman"/>
        </w:rPr>
        <w:footnoteReference w:id="3"/>
      </w:r>
      <w:r w:rsidRPr="008B39E1">
        <w:rPr>
          <w:rFonts w:ascii="Times New Roman" w:hAnsi="Times New Roman" w:cs="Times New Roman"/>
          <w:sz w:val="24"/>
          <w:szCs w:val="24"/>
        </w:rPr>
        <w:t xml:space="preserve"> A corporate headquarters differs from a regional (or divisional) headquarters in that the regional headquarters can only make decisions and perform functions that affect the region or division it oversees and not the whole company. Using a sample of 894 </w:t>
      </w:r>
      <w:r w:rsidR="00887AE4" w:rsidRPr="008B39E1">
        <w:rPr>
          <w:rFonts w:ascii="Times New Roman" w:hAnsi="Times New Roman" w:cs="Times New Roman"/>
          <w:sz w:val="24"/>
          <w:szCs w:val="24"/>
        </w:rPr>
        <w:t xml:space="preserve">corporate </w:t>
      </w:r>
      <w:r w:rsidRPr="008B39E1">
        <w:rPr>
          <w:rFonts w:ascii="Times New Roman" w:hAnsi="Times New Roman" w:cs="Times New Roman"/>
          <w:sz w:val="24"/>
          <w:szCs w:val="24"/>
        </w:rPr>
        <w:t xml:space="preserve">relocations during 2005-2017 and a control sample matched on fiscal year of relocation and size of the relocating firm, we find that relocating firms exhibit significantly higher likelihood of ineffective internal control in the first year of </w:t>
      </w:r>
      <w:r w:rsidRPr="008B39E1">
        <w:rPr>
          <w:rFonts w:ascii="Times New Roman" w:hAnsi="Times New Roman" w:cs="Times New Roman"/>
          <w:sz w:val="24"/>
          <w:szCs w:val="24"/>
        </w:rPr>
        <w:lastRenderedPageBreak/>
        <w:t>relocation, measured by auditor-assessed effectiveness of internal control over financial reporting.</w:t>
      </w:r>
      <w:r w:rsidRPr="008B39E1">
        <w:rPr>
          <w:rStyle w:val="FootnoteReference"/>
          <w:rFonts w:ascii="Times New Roman" w:hAnsi="Times New Roman" w:cs="Times New Roman"/>
          <w:sz w:val="24"/>
          <w:szCs w:val="24"/>
        </w:rPr>
        <w:footnoteReference w:id="4"/>
      </w:r>
      <w:r w:rsidRPr="008B39E1">
        <w:rPr>
          <w:rFonts w:ascii="Times New Roman" w:hAnsi="Times New Roman" w:cs="Times New Roman"/>
          <w:sz w:val="24"/>
          <w:szCs w:val="24"/>
          <w:vertAlign w:val="superscript"/>
        </w:rPr>
        <w:t>,</w:t>
      </w:r>
      <w:r w:rsidRPr="008B39E1">
        <w:rPr>
          <w:rStyle w:val="FootnoteReference"/>
          <w:rFonts w:ascii="Times New Roman" w:hAnsi="Times New Roman" w:cs="Times New Roman"/>
          <w:sz w:val="24"/>
          <w:szCs w:val="24"/>
        </w:rPr>
        <w:footnoteReference w:id="5"/>
      </w:r>
    </w:p>
    <w:p w14:paraId="24D67404" w14:textId="595E8DDC"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 Next, we examine the association between the ineffectiveness of internal control and the change in social capital between the pre- and post-change locations. </w:t>
      </w:r>
      <w:r w:rsidRPr="008B39E1" w:rsidDel="00131F9D">
        <w:rPr>
          <w:rFonts w:ascii="Times New Roman" w:hAnsi="Times New Roman" w:cs="Times New Roman"/>
          <w:sz w:val="24"/>
          <w:szCs w:val="24"/>
        </w:rPr>
        <w:t>Our social capital measure, which has been used in many recent studies, is an index provided by the Northeast Regional Center for Rural Development (</w:t>
      </w:r>
      <w:proofErr w:type="spellStart"/>
      <w:r w:rsidRPr="008B39E1" w:rsidDel="00131F9D">
        <w:rPr>
          <w:rFonts w:ascii="Times New Roman" w:hAnsi="Times New Roman" w:cs="Times New Roman"/>
          <w:sz w:val="24"/>
          <w:szCs w:val="24"/>
        </w:rPr>
        <w:t>NRCRD</w:t>
      </w:r>
      <w:proofErr w:type="spellEnd"/>
      <w:r w:rsidRPr="008B39E1" w:rsidDel="00131F9D">
        <w:rPr>
          <w:rFonts w:ascii="Times New Roman" w:hAnsi="Times New Roman" w:cs="Times New Roman"/>
          <w:sz w:val="24"/>
          <w:szCs w:val="24"/>
        </w:rPr>
        <w:t>) at Pennsylvania State University.</w:t>
      </w:r>
      <w:r w:rsidRPr="008B39E1">
        <w:rPr>
          <w:rStyle w:val="FootnoteReference"/>
          <w:rFonts w:ascii="Times New Roman" w:hAnsi="Times New Roman" w:cs="Times New Roman"/>
          <w:sz w:val="24"/>
          <w:szCs w:val="24"/>
        </w:rPr>
        <w:footnoteReference w:id="6"/>
      </w:r>
      <w:r w:rsidRPr="008B39E1" w:rsidDel="00131F9D">
        <w:rPr>
          <w:rFonts w:ascii="Times New Roman" w:hAnsi="Times New Roman" w:cs="Times New Roman"/>
          <w:sz w:val="24"/>
          <w:szCs w:val="24"/>
        </w:rPr>
        <w:t xml:space="preserve"> This </w:t>
      </w:r>
      <w:r w:rsidRPr="008B39E1">
        <w:rPr>
          <w:rFonts w:ascii="Times New Roman" w:hAnsi="Times New Roman" w:cs="Times New Roman"/>
          <w:sz w:val="24"/>
          <w:szCs w:val="24"/>
        </w:rPr>
        <w:t>index is intended to</w:t>
      </w:r>
      <w:r w:rsidR="00B04500" w:rsidRPr="008B39E1">
        <w:rPr>
          <w:rFonts w:ascii="Times New Roman" w:hAnsi="Times New Roman" w:cs="Times New Roman"/>
          <w:sz w:val="24"/>
          <w:szCs w:val="24"/>
        </w:rPr>
        <w:t xml:space="preserve"> be</w:t>
      </w:r>
      <w:r w:rsidRPr="008B39E1" w:rsidDel="00131F9D">
        <w:rPr>
          <w:rFonts w:ascii="Times New Roman" w:hAnsi="Times New Roman" w:cs="Times New Roman"/>
          <w:sz w:val="24"/>
          <w:szCs w:val="24"/>
        </w:rPr>
        <w:t xml:space="preserve"> the “collective manifestation of behaviors, attitudes, and values of individual members of a community” </w:t>
      </w:r>
      <w:r w:rsidRPr="008B39E1" w:rsidDel="00131F9D">
        <w:rPr>
          <w:rFonts w:ascii="Times New Roman" w:hAnsi="Times New Roman" w:cs="Times New Roman"/>
          <w:sz w:val="24"/>
          <w:szCs w:val="24"/>
        </w:rPr>
        <w:fldChar w:fldCharType="begin" w:fldLock="1"/>
      </w:r>
      <w:r w:rsidRPr="008B39E1" w:rsidDel="00131F9D">
        <w:rPr>
          <w:rFonts w:ascii="Times New Roman" w:hAnsi="Times New Roman" w:cs="Times New Roman"/>
          <w:sz w:val="24"/>
          <w:szCs w:val="24"/>
        </w:rPr>
        <w:instrText>ADDIN CSL_CITATION {"citationItems":[{"id":"ITEM-1","itemData":{"DOI":"10.1016/j.socec.2005.11.001","ISSN":"10535357","abstract":"A growing belief exists that social capital contributes to economic growth of communities. In this paper, we identify inputs into the production of social capital at the level of US counties, using an array of individual and community factors that are theoretically important determinants of social capital. We use data from the Bureau of the Census, County Business Patterns, USA Counties on CD, National Center for Charitable Statistics, and the Regional Economic Information System for two time periods. Ethnic homogeneity, income inequality, attachment to place, education, age, and female labor force participation are strongly associated with levels of social capital across US counties. © 2005 Elsevier Inc. All rights reserved.","author":[{"dropping-particle":"","family":"Rupasingha","given":"Anil","non-dropping-particle":"","parse-names":false,"suffix":""},{"dropping-particle":"","family":"Goetz","given":"Stephan J.","non-dropping-particle":"","parse-names":false,"suffix":""},{"dropping-particle":"","family":"Freshwater","given":"David","non-dropping-particle":"","parse-names":false,"suffix":""}],"container-title":"Journal of Socio-Economics","id":"ITEM-1","issue":"1","issued":{"date-parts":[["2006"]]},"page":"83-101","title":"The production of social capital in US counties","type":"article-journal","volume":"35"},"uris":["http://www.mendeley.com/documents/?uuid=44091493-6467-4571-a7a1-d98ed838110a"]}],"mendeley":{"formattedCitation":"(Rupasingha et al. 2006)","manualFormatting":"(Rupasingha, Goetz, and Freshwater 2006)","plainTextFormattedCitation":"(Rupasingha et al. 2006)","previouslyFormattedCitation":"(Rupasingha et al. 2006)"},"properties":{"noteIndex":0},"schema":"https://github.com/citation-style-language/schema/raw/master/csl-citation.json"}</w:instrText>
      </w:r>
      <w:r w:rsidRPr="008B39E1" w:rsidDel="00131F9D">
        <w:rPr>
          <w:rFonts w:ascii="Times New Roman" w:hAnsi="Times New Roman" w:cs="Times New Roman"/>
          <w:sz w:val="24"/>
          <w:szCs w:val="24"/>
        </w:rPr>
        <w:fldChar w:fldCharType="separate"/>
      </w:r>
      <w:r w:rsidRPr="008B39E1" w:rsidDel="00131F9D">
        <w:rPr>
          <w:rFonts w:ascii="Times New Roman" w:hAnsi="Times New Roman" w:cs="Times New Roman"/>
          <w:noProof/>
          <w:sz w:val="24"/>
          <w:szCs w:val="24"/>
        </w:rPr>
        <w:t>(Rupasingha, Goetz, and Freshwater</w:t>
      </w:r>
      <w:r w:rsidR="00626C86" w:rsidRPr="008B39E1">
        <w:rPr>
          <w:rFonts w:ascii="Times New Roman" w:hAnsi="Times New Roman" w:cs="Times New Roman"/>
          <w:noProof/>
          <w:sz w:val="24"/>
          <w:szCs w:val="24"/>
        </w:rPr>
        <w:t>,</w:t>
      </w:r>
      <w:r w:rsidRPr="008B39E1" w:rsidDel="00131F9D">
        <w:rPr>
          <w:rFonts w:ascii="Times New Roman" w:hAnsi="Times New Roman" w:cs="Times New Roman"/>
          <w:noProof/>
          <w:sz w:val="24"/>
          <w:szCs w:val="24"/>
        </w:rPr>
        <w:t xml:space="preserve"> 2006</w:t>
      </w:r>
      <w:r w:rsidR="00973838" w:rsidRPr="008B39E1">
        <w:rPr>
          <w:rFonts w:ascii="Times New Roman" w:hAnsi="Times New Roman" w:cs="Times New Roman"/>
          <w:noProof/>
          <w:sz w:val="24"/>
          <w:szCs w:val="24"/>
        </w:rPr>
        <w:t>, p.</w:t>
      </w:r>
      <w:r w:rsidR="00F52807" w:rsidRPr="008B39E1">
        <w:rPr>
          <w:rFonts w:ascii="Times New Roman" w:hAnsi="Times New Roman" w:cs="Times New Roman"/>
          <w:noProof/>
          <w:sz w:val="24"/>
          <w:szCs w:val="24"/>
        </w:rPr>
        <w:t>85</w:t>
      </w:r>
      <w:r w:rsidRPr="008B39E1" w:rsidDel="00131F9D">
        <w:rPr>
          <w:rFonts w:ascii="Times New Roman" w:hAnsi="Times New Roman" w:cs="Times New Roman"/>
          <w:noProof/>
          <w:sz w:val="24"/>
          <w:szCs w:val="24"/>
        </w:rPr>
        <w:t>)</w:t>
      </w:r>
      <w:r w:rsidRPr="008B39E1" w:rsidDel="00131F9D">
        <w:rPr>
          <w:rFonts w:ascii="Times New Roman" w:hAnsi="Times New Roman" w:cs="Times New Roman"/>
          <w:sz w:val="24"/>
          <w:szCs w:val="24"/>
        </w:rPr>
        <w:fldChar w:fldCharType="end"/>
      </w:r>
      <w:r w:rsidRPr="008B39E1" w:rsidDel="00131F9D">
        <w:rPr>
          <w:rFonts w:ascii="Times New Roman" w:hAnsi="Times New Roman" w:cs="Times New Roman"/>
          <w:sz w:val="24"/>
          <w:szCs w:val="24"/>
        </w:rPr>
        <w:t xml:space="preserve">. </w:t>
      </w:r>
      <w:r w:rsidRPr="008B39E1">
        <w:rPr>
          <w:rFonts w:ascii="Times New Roman" w:hAnsi="Times New Roman" w:cs="Times New Roman"/>
          <w:sz w:val="24"/>
          <w:szCs w:val="24"/>
        </w:rPr>
        <w:t xml:space="preserve">Thus, it measures how “at-home” and attached individuals are to their immediate community. It follows that </w:t>
      </w:r>
      <w:r w:rsidRPr="008B39E1">
        <w:rPr>
          <w:rFonts w:ascii="Times New Roman" w:hAnsi="Times New Roman" w:cs="Times New Roman"/>
          <w:i/>
          <w:iCs/>
          <w:sz w:val="24"/>
          <w:szCs w:val="24"/>
        </w:rPr>
        <w:t>changes</w:t>
      </w:r>
      <w:r w:rsidRPr="008B39E1">
        <w:rPr>
          <w:rFonts w:ascii="Times New Roman" w:hAnsi="Times New Roman" w:cs="Times New Roman"/>
          <w:sz w:val="24"/>
          <w:szCs w:val="24"/>
        </w:rPr>
        <w:t xml:space="preserve"> in social capital levels stemming from relocations can capture how alike or dissimilar the communities are, thus </w:t>
      </w:r>
      <w:r w:rsidR="00FF618B" w:rsidRPr="008B39E1">
        <w:rPr>
          <w:rFonts w:ascii="Times New Roman" w:hAnsi="Times New Roman" w:cs="Times New Roman"/>
          <w:sz w:val="24"/>
          <w:szCs w:val="24"/>
        </w:rPr>
        <w:t>measuring</w:t>
      </w:r>
      <w:r w:rsidRPr="008B39E1">
        <w:rPr>
          <w:rFonts w:ascii="Times New Roman" w:hAnsi="Times New Roman" w:cs="Times New Roman"/>
          <w:sz w:val="24"/>
          <w:szCs w:val="24"/>
        </w:rPr>
        <w:t xml:space="preserve"> the extent of </w:t>
      </w:r>
      <w:r w:rsidR="00FF618B" w:rsidRPr="008B39E1">
        <w:rPr>
          <w:rFonts w:ascii="Times New Roman" w:hAnsi="Times New Roman" w:cs="Times New Roman"/>
          <w:sz w:val="24"/>
          <w:szCs w:val="24"/>
        </w:rPr>
        <w:t xml:space="preserve">expected </w:t>
      </w:r>
      <w:r w:rsidRPr="008B39E1">
        <w:rPr>
          <w:rFonts w:ascii="Times New Roman" w:hAnsi="Times New Roman" w:cs="Times New Roman"/>
          <w:sz w:val="24"/>
          <w:szCs w:val="24"/>
        </w:rPr>
        <w:t xml:space="preserve">employee disruptions. We argue that employees of a headquarters relocating to a dissimilar community are less likely to relocate, which means high employee disruptions and heightened opportunities for, and occurrences of, internal control quality issues. Importantly, because an employee’s allegiance to community can occur regardless of whether social capital is “high” or “low”, we expect larger </w:t>
      </w:r>
      <w:r w:rsidRPr="008B39E1">
        <w:rPr>
          <w:rFonts w:ascii="Times New Roman" w:hAnsi="Times New Roman" w:cs="Times New Roman"/>
          <w:i/>
          <w:iCs/>
          <w:sz w:val="24"/>
          <w:szCs w:val="24"/>
        </w:rPr>
        <w:t>absolute</w:t>
      </w:r>
      <w:r w:rsidRPr="008B39E1">
        <w:rPr>
          <w:rFonts w:ascii="Times New Roman" w:hAnsi="Times New Roman" w:cs="Times New Roman"/>
          <w:sz w:val="24"/>
          <w:szCs w:val="24"/>
        </w:rPr>
        <w:t xml:space="preserve"> changes in the index to be associated with higher likelihood of internal control ineffectiveness following relocation. Using the absolute change in the index as well as an </w:t>
      </w:r>
      <w:r w:rsidR="00254197" w:rsidRPr="008B39E1">
        <w:rPr>
          <w:rFonts w:ascii="Times New Roman" w:hAnsi="Times New Roman" w:cs="Times New Roman"/>
          <w:sz w:val="24"/>
          <w:szCs w:val="24"/>
        </w:rPr>
        <w:t>indicator</w:t>
      </w:r>
      <w:r w:rsidRPr="008B39E1">
        <w:rPr>
          <w:rFonts w:ascii="Times New Roman" w:hAnsi="Times New Roman" w:cs="Times New Roman"/>
          <w:sz w:val="24"/>
          <w:szCs w:val="24"/>
        </w:rPr>
        <w:t xml:space="preserve"> </w:t>
      </w:r>
      <w:r w:rsidR="00254197" w:rsidRPr="008B39E1">
        <w:rPr>
          <w:rFonts w:ascii="Times New Roman" w:hAnsi="Times New Roman" w:cs="Times New Roman"/>
          <w:sz w:val="24"/>
          <w:szCs w:val="24"/>
        </w:rPr>
        <w:t>variable for</w:t>
      </w:r>
      <w:r w:rsidRPr="008B39E1">
        <w:rPr>
          <w:rFonts w:ascii="Times New Roman" w:hAnsi="Times New Roman" w:cs="Times New Roman"/>
          <w:sz w:val="24"/>
          <w:szCs w:val="24"/>
        </w:rPr>
        <w:t xml:space="preserve"> change, we </w:t>
      </w:r>
      <w:r w:rsidRPr="008B39E1">
        <w:rPr>
          <w:rFonts w:ascii="Times New Roman" w:hAnsi="Times New Roman" w:cs="Times New Roman"/>
          <w:sz w:val="24"/>
          <w:szCs w:val="24"/>
        </w:rPr>
        <w:lastRenderedPageBreak/>
        <w:t xml:space="preserve">find that the adverse effect of internal control ineffectiveness is stronger when headquarters relocations are accompanied by high </w:t>
      </w:r>
      <w:r w:rsidRPr="008B39E1">
        <w:rPr>
          <w:rFonts w:ascii="Times New Roman" w:hAnsi="Times New Roman" w:cs="Times New Roman"/>
          <w:i/>
          <w:iCs/>
          <w:sz w:val="24"/>
          <w:szCs w:val="24"/>
        </w:rPr>
        <w:t>absolute</w:t>
      </w:r>
      <w:r w:rsidRPr="008B39E1">
        <w:rPr>
          <w:rFonts w:ascii="Times New Roman" w:hAnsi="Times New Roman" w:cs="Times New Roman"/>
          <w:sz w:val="24"/>
          <w:szCs w:val="24"/>
        </w:rPr>
        <w:t xml:space="preserve"> differences in social capital (i.e., either moving from low to high or high to low social capital counties).</w:t>
      </w:r>
    </w:p>
    <w:p w14:paraId="522D70C7" w14:textId="604AEFDB" w:rsidR="00385A6D" w:rsidRPr="008B39E1" w:rsidRDefault="002A7141" w:rsidP="00981B19">
      <w:pPr>
        <w:spacing w:after="0" w:line="480" w:lineRule="auto"/>
        <w:ind w:firstLine="720"/>
        <w:rPr>
          <w:rFonts w:ascii="Times New Roman" w:hAnsi="Times New Roman" w:cs="Times New Roman"/>
          <w:sz w:val="24"/>
          <w:szCs w:val="24"/>
        </w:rPr>
      </w:pPr>
      <w:r w:rsidRPr="008B39E1" w:rsidDel="002A7141">
        <w:rPr>
          <w:rFonts w:ascii="Times New Roman" w:hAnsi="Times New Roman" w:cs="Times New Roman"/>
          <w:sz w:val="24"/>
          <w:szCs w:val="24"/>
        </w:rPr>
        <w:t xml:space="preserve">An entity’s internal controls can vary </w:t>
      </w:r>
      <w:proofErr w:type="gramStart"/>
      <w:r w:rsidRPr="008B39E1" w:rsidDel="002A7141">
        <w:rPr>
          <w:rFonts w:ascii="Times New Roman" w:hAnsi="Times New Roman" w:cs="Times New Roman"/>
          <w:sz w:val="24"/>
          <w:szCs w:val="24"/>
        </w:rPr>
        <w:t>in</w:t>
      </w:r>
      <w:proofErr w:type="gramEnd"/>
      <w:r w:rsidRPr="008B39E1" w:rsidDel="002A7141">
        <w:rPr>
          <w:rFonts w:ascii="Times New Roman" w:hAnsi="Times New Roman" w:cs="Times New Roman"/>
          <w:sz w:val="24"/>
          <w:szCs w:val="24"/>
        </w:rPr>
        <w:t xml:space="preserve"> the extent to which they require employee experience for effective </w:t>
      </w:r>
      <w:r w:rsidRPr="008B39E1">
        <w:rPr>
          <w:rFonts w:ascii="Times New Roman" w:hAnsi="Times New Roman" w:cs="Times New Roman"/>
          <w:sz w:val="24"/>
          <w:szCs w:val="24"/>
        </w:rPr>
        <w:t>performance</w:t>
      </w:r>
      <w:r w:rsidRPr="008B39E1" w:rsidDel="002A7141">
        <w:rPr>
          <w:rFonts w:ascii="Times New Roman" w:hAnsi="Times New Roman" w:cs="Times New Roman"/>
          <w:sz w:val="24"/>
          <w:szCs w:val="24"/>
        </w:rPr>
        <w:t xml:space="preserve">. </w:t>
      </w:r>
      <w:r w:rsidRPr="008B39E1">
        <w:rPr>
          <w:rFonts w:ascii="Times New Roman" w:hAnsi="Times New Roman" w:cs="Times New Roman"/>
          <w:sz w:val="24"/>
          <w:szCs w:val="24"/>
        </w:rPr>
        <w:t xml:space="preserve">Competent and experienced employees are necessary for the proper functioning of manual, particularly non-procedural, internal controls. These internal controls usually involve employee judgment to identify and address exceptions and errors. </w:t>
      </w:r>
      <w:r w:rsidRPr="008B39E1" w:rsidDel="002A7141">
        <w:rPr>
          <w:rFonts w:ascii="Times New Roman" w:hAnsi="Times New Roman" w:cs="Times New Roman"/>
          <w:sz w:val="24"/>
          <w:szCs w:val="24"/>
        </w:rPr>
        <w:t>Accordingly, we examine</w:t>
      </w:r>
      <w:r w:rsidRPr="008B39E1">
        <w:rPr>
          <w:rFonts w:ascii="Times New Roman" w:hAnsi="Times New Roman" w:cs="Times New Roman"/>
          <w:sz w:val="24"/>
          <w:szCs w:val="24"/>
        </w:rPr>
        <w:t xml:space="preserve"> whether </w:t>
      </w:r>
      <w:r w:rsidR="00385A6D" w:rsidRPr="008B39E1">
        <w:rPr>
          <w:rFonts w:ascii="Times New Roman" w:hAnsi="Times New Roman" w:cs="Times New Roman"/>
          <w:sz w:val="24"/>
          <w:szCs w:val="24"/>
        </w:rPr>
        <w:t xml:space="preserve">the adverse effect on post-relocation internal control ineffectiveness is </w:t>
      </w:r>
      <w:r w:rsidR="00C0725C" w:rsidRPr="008B39E1">
        <w:rPr>
          <w:rFonts w:ascii="Times New Roman" w:hAnsi="Times New Roman" w:cs="Times New Roman"/>
          <w:sz w:val="24"/>
          <w:szCs w:val="24"/>
        </w:rPr>
        <w:t>significant</w:t>
      </w:r>
      <w:r w:rsidR="00385A6D" w:rsidRPr="008B39E1">
        <w:rPr>
          <w:rFonts w:ascii="Times New Roman" w:hAnsi="Times New Roman" w:cs="Times New Roman"/>
          <w:sz w:val="24"/>
          <w:szCs w:val="24"/>
        </w:rPr>
        <w:t xml:space="preserve"> for controls that are particularly dependent on stable employees for effective performance.</w:t>
      </w:r>
      <w:r w:rsidR="008B74F1" w:rsidRPr="008B39E1">
        <w:rPr>
          <w:rFonts w:ascii="Times New Roman" w:hAnsi="Times New Roman" w:cs="Times New Roman"/>
          <w:sz w:val="24"/>
          <w:szCs w:val="24"/>
        </w:rPr>
        <w:t xml:space="preserve"> </w:t>
      </w:r>
      <w:r w:rsidRPr="008B39E1">
        <w:rPr>
          <w:rFonts w:ascii="Times New Roman" w:hAnsi="Times New Roman" w:cs="Times New Roman"/>
          <w:sz w:val="24"/>
          <w:szCs w:val="24"/>
        </w:rPr>
        <w:t>We find this to be the case.</w:t>
      </w:r>
    </w:p>
    <w:p w14:paraId="344C6C64" w14:textId="46853AF9"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Thus, our main results support the expectation that disruptions in psychosocial characteristics of a firm’s local neighborhood can affect its internal control quality potentially through disruptions encountered by employees. We examine this result further separating our social capital measure into two sub-measures, “norms” and “networks”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{"citationItems":[{"id":"ITEM-1","itemData":{"DOI":"10.1016/j.socec.2005.11.001","ISSN":"10535357","abstract":"A growing belief exists that social capital contributes to economic growth of communities. In this paper, we identify inputs into the production of social capital at the level of US counties, using an array of individual and community factors that are theoretically important determinants of social capital. We use data from the Bureau of the Census, County Business Patterns, USA Counties on CD, National Center for Charitable Statistics, and the Regional Economic Information System for two time periods. Ethnic homogeneity, income inequality, attachment to place, education, age, and female labor force participation are strongly associated with levels of social capital across US counties. © 2005 Elsevier Inc. All rights reserved.","author":[{"dropping-particle":"","family":"Rupasingha","given":"Anil","non-dropping-particle":"","parse-names":false,"suffix":""},{"dropping-particle":"","family":"Goetz","given":"Stephan J.","non-dropping-particle":"","parse-names":false,"suffix":""},{"dropping-particle":"","family":"Freshwater","given":"David","non-dropping-particle":"","parse-names":false,"suffix":""}],"container-title":"Journal of Socio-Economics","id":"ITEM-1","issue":"1","issued":{"date-parts":[["2006"]]},"page":"83-101","title":"The production of social capital in US counties","type":"article-journal","volume":"35"},"uris":["http://www.mendeley.com/documents/?uuid=44091493-6467-4571-a7a1-d98ed838110a"]}],"mendeley":{"formattedCitation":"(Rupasingha et al. 2006)","plainTextFormattedCitation":"(Rupasingha et al. 2006)","previouslyFormattedCitation":"(Rupasingha et al. 2006)"},"properties":{"noteIndex":0},"schema":"https://github.com/citation-style-language/schema/raw/master/csl-citation.json"}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 xml:space="preserve">(Rupasingha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2006)</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Norms capture the county’s attitude towards and participation in civic duties, like voting in elections and responding to census counts. Networks </w:t>
      </w:r>
      <w:r w:rsidR="00555E87" w:rsidRPr="008B39E1">
        <w:rPr>
          <w:rFonts w:ascii="Times New Roman" w:hAnsi="Times New Roman" w:cs="Times New Roman"/>
          <w:sz w:val="24"/>
          <w:szCs w:val="24"/>
        </w:rPr>
        <w:t xml:space="preserve">capture participation and connections in </w:t>
      </w:r>
      <w:r w:rsidRPr="008B39E1">
        <w:rPr>
          <w:rFonts w:ascii="Times New Roman" w:hAnsi="Times New Roman" w:cs="Times New Roman"/>
          <w:sz w:val="24"/>
          <w:szCs w:val="24"/>
        </w:rPr>
        <w:t xml:space="preserve">the social and recreational activities of a county. Our results suggest that disruptions in both norms and networks are strongly associated with </w:t>
      </w:r>
      <w:r w:rsidR="007043E0" w:rsidRPr="008B39E1">
        <w:rPr>
          <w:rFonts w:ascii="Times New Roman" w:hAnsi="Times New Roman" w:cs="Times New Roman"/>
          <w:sz w:val="24"/>
          <w:szCs w:val="24"/>
        </w:rPr>
        <w:t>the likelihood</w:t>
      </w:r>
      <w:r w:rsidRPr="008B39E1">
        <w:rPr>
          <w:rFonts w:ascii="Times New Roman" w:hAnsi="Times New Roman" w:cs="Times New Roman"/>
          <w:sz w:val="24"/>
          <w:szCs w:val="24"/>
        </w:rPr>
        <w:t xml:space="preserve"> of internal control ineffectiveness. This finding underscores the connection between disruptions to employees’ social environment following relocation with internal control quality. </w:t>
      </w:r>
    </w:p>
    <w:p w14:paraId="72E719F5" w14:textId="10A25D42"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Our study contributes to the literature on both headquarter relocations and internal control quality. Investigations of headquarter relocations focus mostly on </w:t>
      </w:r>
      <w:proofErr w:type="gramStart"/>
      <w:r w:rsidRPr="008B39E1">
        <w:rPr>
          <w:rFonts w:ascii="Times New Roman" w:hAnsi="Times New Roman" w:cs="Times New Roman"/>
          <w:sz w:val="24"/>
          <w:szCs w:val="24"/>
        </w:rPr>
        <w:t>motivations</w:t>
      </w:r>
      <w:proofErr w:type="gramEnd"/>
      <w:r w:rsidRPr="008B39E1">
        <w:rPr>
          <w:rFonts w:ascii="Times New Roman" w:hAnsi="Times New Roman" w:cs="Times New Roman"/>
          <w:sz w:val="24"/>
          <w:szCs w:val="24"/>
        </w:rPr>
        <w:t xml:space="preserve"> for relocating and, in a few studies, on firm performance following the moves. No study has, as we do, examined </w:t>
      </w:r>
      <w:r w:rsidRPr="008B39E1">
        <w:rPr>
          <w:rFonts w:ascii="Times New Roman" w:hAnsi="Times New Roman" w:cs="Times New Roman"/>
          <w:sz w:val="24"/>
          <w:szCs w:val="24"/>
        </w:rPr>
        <w:lastRenderedPageBreak/>
        <w:t>the internal control ineffectiveness as the outcome measure.</w:t>
      </w:r>
      <w:r w:rsidR="00191658" w:rsidRPr="008B39E1">
        <w:rPr>
          <w:rStyle w:val="FootnoteReference"/>
          <w:rFonts w:ascii="Times New Roman" w:hAnsi="Times New Roman" w:cs="Times New Roman"/>
          <w:sz w:val="24"/>
          <w:szCs w:val="24"/>
        </w:rPr>
        <w:footnoteReference w:id="7"/>
      </w:r>
      <w:r w:rsidRPr="008B39E1">
        <w:rPr>
          <w:rFonts w:ascii="Times New Roman" w:hAnsi="Times New Roman" w:cs="Times New Roman"/>
          <w:sz w:val="24"/>
          <w:szCs w:val="24"/>
        </w:rPr>
        <w:t xml:space="preserve"> Internal control quality remains, despite a large literature, an important topic of study because it has been shown to impact financial reporting</w:t>
      </w:r>
      <w:r w:rsidR="008B6E48" w:rsidRPr="008B39E1">
        <w:rPr>
          <w:rFonts w:ascii="Times New Roman" w:hAnsi="Times New Roman" w:cs="Times New Roman"/>
          <w:sz w:val="24"/>
          <w:szCs w:val="24"/>
        </w:rPr>
        <w:t xml:space="preserve"> (e.g., earnings quality), </w:t>
      </w:r>
      <w:r w:rsidRPr="008B39E1">
        <w:rPr>
          <w:rFonts w:ascii="Times New Roman" w:hAnsi="Times New Roman" w:cs="Times New Roman"/>
          <w:sz w:val="24"/>
          <w:szCs w:val="24"/>
        </w:rPr>
        <w:t>cost of capital, and operational efficiency.</w:t>
      </w:r>
      <w:r w:rsidRPr="008B39E1">
        <w:rPr>
          <w:rStyle w:val="FootnoteReference"/>
          <w:rFonts w:ascii="Times New Roman" w:hAnsi="Times New Roman" w:cs="Times New Roman"/>
        </w:rPr>
        <w:footnoteReference w:id="8"/>
      </w:r>
      <w:r w:rsidRPr="008B39E1">
        <w:rPr>
          <w:rFonts w:ascii="Times New Roman" w:hAnsi="Times New Roman" w:cs="Times New Roman"/>
          <w:sz w:val="24"/>
          <w:szCs w:val="24"/>
        </w:rPr>
        <w:t xml:space="preserve"> Our contribution to this large literature on internal control quality is that we use the disruptive nature of relocations as a setting in which employee stability – a significant requirement for internal control quality – is adversely affected. Our setting is a disequilibrium situation where employee stability can be reasonably expected to be affected, allowing us to assess its impact on internal control quality. This also contributes to the very limited literature examining the role of employees in internal control quality. </w:t>
      </w:r>
    </w:p>
    <w:p w14:paraId="4E12CD4F" w14:textId="025E10D5" w:rsidR="00A05BC1" w:rsidRPr="008B39E1" w:rsidRDefault="008B6E48"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We</w:t>
      </w:r>
      <w:r w:rsidR="00385A6D" w:rsidRPr="008B39E1">
        <w:rPr>
          <w:rFonts w:ascii="Times New Roman" w:hAnsi="Times New Roman" w:cs="Times New Roman"/>
          <w:sz w:val="24"/>
          <w:szCs w:val="24"/>
        </w:rPr>
        <w:t xml:space="preserve"> introduce a new role for social capital compared with previous research in accounting/finance studies. These studies generally focus on the monitoring role of social capital and find, in cross-sectional studies, that “high” social capital yields favorable outcomes </w:t>
      </w:r>
      <w:r w:rsidR="00385A6D" w:rsidRPr="008B39E1">
        <w:rPr>
          <w:rFonts w:ascii="Times New Roman" w:hAnsi="Times New Roman" w:cs="Times New Roman"/>
          <w:sz w:val="24"/>
          <w:szCs w:val="24"/>
        </w:rPr>
        <w:fldChar w:fldCharType="begin" w:fldLock="1"/>
      </w:r>
      <w:r w:rsidR="00385A6D" w:rsidRPr="008B39E1">
        <w:rPr>
          <w:rFonts w:ascii="Times New Roman" w:hAnsi="Times New Roman" w:cs="Times New Roman"/>
          <w:sz w:val="24"/>
          <w:szCs w:val="24"/>
        </w:rPr>
        <w:instrText>ADDIN CSL_CITATION {"citationItems":[{"id":"ITEM-1","itemData":{"DOI":"10.1111/1475-679X.12159","ISSN":"1475679X","abstract":"We investigate whether the levels of social capital in U.S. counties, as captured by strength of civic norms and density of social networks in the counties, are systematically related to tax avoidance activities of corporations with headquarters located in the counties. We find strong negative associations between social capital and corporate tax avoidance, as captured by effective tax rates and book-tax differences. These results are incremental to the effects of local religiosity and firm culture toward socially irresponsible activities. They are robust to using organ donation as an alternative social capital proxy and fixed effect regressions. They extend to aggressive tax avoidance practices. Additionally, we provide corroborating evidence using firms with headquarters relocation that changes the exposure to social capital. We conclude that social capital surrounding corporate headquarters provides environmental influences constraining corporate tax avoidance.","author":[{"dropping-particle":"","family":"Hasan","given":"Iftekhar","non-dropping-particle":"","parse-names":false,"suffix":""},{"dropping-particle":"","family":"Hoi","given":"Chun Keung Stan","non-dropping-particle":"","parse-names":false,"suffix":""},{"dropping-particle":"","family":"Wu","given":"Qiang","non-dropping-particle":"","parse-names":false,"suffix":""},{"dropping-particle":"","family":"Zhang","given":"Hao","non-dropping-particle":"","parse-names":false,"suffix":""}],"container-title":"Journal of Accounting Research","id":"ITEM-1","issue":"3","issued":{"date-parts":[["2017"]]},"page":"629-668","title":"Does Social Capital Matter in Corporate Decisions? Evidence from Corporate Tax Avoidance","type":"article-journal","volume":"55"},"uris":["http://www.mendeley.com/documents/?uuid=7e1ff8b5-215e-43e3-b440-61cb165a603e"]},{"id":"ITEM-2","itemData":{"DOI":"10.1017/S0022109017000205","ISBN":"0022109017000","ISSN":"17566916","abstract":"We find that firms headquartered in U.S. counties with higher levels of social capital incur lower bank loan spreads. This finding is robust to using organ donation as an alternative social capital measure and incremental to the effects of religiosity, corporate social responsibility, and tax avoidance. We identify the causal relation using companies with a social-capital-changing headquarters relocation. We also find that high-social-capital firms face loosened nonprice loan terms, incur lower at-issue bond spreads, and prefer public bonds over bank loans. We conclude that debt holders perceive social capital as providing environmental pressure that constrains opportunistic firm behaviors in debt contracting.","author":[{"dropping-particle":"","family":"Hasan","given":"Iftekhar","non-dropping-particle":"","parse-names":false,"suffix":""},{"dropping-particle":"","family":"Hoi","given":"Chun Keung","non-dropping-particle":"","parse-names":false,"suffix":""},{"dropping-particle":"","family":"Wu","given":"Qiang","non-dropping-particle":"","parse-names":false,"suffix":""},{"dropping-particle":"","family":"Zhang","given":"Hao","non-dropping-particle":"","parse-names":false,"suffix":""}],"container-title":"Journal of Financial and Quantitative Analysis","id":"ITEM-2","issue":"3","issued":{"date-parts":[["2017"]]},"page":"1017-1047","title":"Social Capital and Debt Contracting: Evidence from Bank Loans and Public Bonds","type":"article-journal","volume":"52"},"uris":["http://www.mendeley.com/documents/?uuid=38a988f0-63b9-4fcb-88d7-2a66f96895f5"]},{"id":"ITEM-3","itemData":{"DOI":"10.2308/horizons-16-153","abstract":"We examine the association between firms’ county-level social capital and their internal control quality, measured by the disclosure of material weaknesses in their auditors’ report on internal control over financial reporting (ICFR). Using a sample of 22,656 firm-year observations for the period 2004-2014, and a measure of social capital provided by the Northeast Regional Center for Rural Development (NRCRD), we document that, after controlling for auditor effort, firms headquartered in US counties with higher social capital are less likely to have ineffective ICFR than those located in areas with lower social capital. More important, we find, fairly consistently in multiple tests, that this association holds for ineffective internal control arising from entity- level, but not account-specific, material weaknesses. Since entity-level internal control weaknesses have been shown to have adverse effects on a number of outcomes (in addition to financial reporting quality), such as firm performance, credit ratings and internal capital allocation efficiency, future studies can explore whether social capital could affect these outcomes indirectly through its effect on entity-level internal controls.","author":[{"dropping-particle":"","family":"Krishnan","given":"Jayanthi","non-dropping-particle":"","parse-names":false,"suffix":""},{"dropping-particle":"","family":"Lee","given":"Sang Mook","non-dropping-particle":"","parse-names":false,"suffix":""},{"dropping-particle":"","family":"Son","given":"Myungsoo","non-dropping-particle":"","parse-names":false,"suffix":""},{"dropping-particle":"","family":"Song","given":"Hakjoon","non-dropping-particle":"","parse-names":false,"suffix":""}],"container-title":"Accounting Horizons","id":"ITEM-3","issued":{"date-parts":[["2021"]]},"title":"Social Capital and Internal Control Material Weaknesses","type":"article-journal"},"uris":["http://www.mendeley.com/documents/?uuid=9646da42-87c0-40f6-82d0-c2bd00310669"]}],"mendeley":{"formattedCitation":"(Hasan, Chun Keung Stan Hoi, et al. 2017; Hasan, Chun Keung Hoi, et al. 2017; Krishnan et al. 2021)","manualFormatting":"(Hasan et al. 2017a, 2017b; Krishnan Lee, Son, and Song. 2021)","plainTextFormattedCitation":"(Hasan, Chun Keung Stan Hoi, et al. 2017; Hasan, Chun Keung Hoi, et al. 2017; Krishnan et al. 2021)","previouslyFormattedCitation":"(Hasan, Chun Keung Stan Hoi, et al. 2017; Hasan, Chun Keung Hoi, et al. 2017; Krishnan et al. 2021)"},"properties":{"noteIndex":0},"schema":"https://github.com/citation-style-language/schema/raw/master/csl-citation.json"}</w:instrText>
      </w:r>
      <w:r w:rsidR="00385A6D" w:rsidRPr="008B39E1">
        <w:rPr>
          <w:rFonts w:ascii="Times New Roman" w:hAnsi="Times New Roman" w:cs="Times New Roman"/>
          <w:sz w:val="24"/>
          <w:szCs w:val="24"/>
        </w:rPr>
        <w:fldChar w:fldCharType="separate"/>
      </w:r>
      <w:r w:rsidR="00385A6D" w:rsidRPr="008B39E1">
        <w:rPr>
          <w:rFonts w:ascii="Times New Roman" w:hAnsi="Times New Roman" w:cs="Times New Roman"/>
          <w:noProof/>
          <w:sz w:val="24"/>
          <w:szCs w:val="24"/>
        </w:rPr>
        <w:t xml:space="preserve">(Hasan </w:t>
      </w:r>
      <w:r w:rsidR="00ED2DA4" w:rsidRPr="008B39E1">
        <w:rPr>
          <w:rFonts w:ascii="Times New Roman" w:hAnsi="Times New Roman" w:cs="Times New Roman"/>
          <w:i/>
          <w:noProof/>
          <w:sz w:val="24"/>
          <w:szCs w:val="24"/>
        </w:rPr>
        <w:t>et al</w:t>
      </w:r>
      <w:r w:rsidR="00385A6D" w:rsidRPr="008B39E1">
        <w:rPr>
          <w:rFonts w:ascii="Times New Roman" w:hAnsi="Times New Roman" w:cs="Times New Roman"/>
          <w:noProof/>
          <w:sz w:val="24"/>
          <w:szCs w:val="24"/>
        </w:rPr>
        <w:t>.</w:t>
      </w:r>
      <w:r w:rsidR="009363C3" w:rsidRPr="008B39E1">
        <w:rPr>
          <w:rFonts w:ascii="Times New Roman" w:hAnsi="Times New Roman" w:cs="Times New Roman"/>
          <w:noProof/>
          <w:sz w:val="24"/>
          <w:szCs w:val="24"/>
        </w:rPr>
        <w:t>,</w:t>
      </w:r>
      <w:r w:rsidR="00385A6D" w:rsidRPr="008B39E1">
        <w:rPr>
          <w:rFonts w:ascii="Times New Roman" w:hAnsi="Times New Roman" w:cs="Times New Roman"/>
          <w:noProof/>
          <w:sz w:val="24"/>
          <w:szCs w:val="24"/>
        </w:rPr>
        <w:t xml:space="preserve"> 2017a, 2017b; Krishnan</w:t>
      </w:r>
      <w:r w:rsidR="009363C3" w:rsidRPr="008B39E1">
        <w:rPr>
          <w:rFonts w:ascii="Times New Roman" w:hAnsi="Times New Roman" w:cs="Times New Roman"/>
          <w:noProof/>
          <w:sz w:val="24"/>
          <w:szCs w:val="24"/>
        </w:rPr>
        <w:t xml:space="preserve"> </w:t>
      </w:r>
      <w:r w:rsidR="00ED2DA4" w:rsidRPr="008B39E1">
        <w:rPr>
          <w:rFonts w:ascii="Times New Roman" w:hAnsi="Times New Roman" w:cs="Times New Roman"/>
          <w:i/>
          <w:noProof/>
          <w:sz w:val="24"/>
          <w:szCs w:val="24"/>
        </w:rPr>
        <w:t>et al</w:t>
      </w:r>
      <w:r w:rsidR="009363C3" w:rsidRPr="008B39E1">
        <w:rPr>
          <w:rFonts w:ascii="Times New Roman" w:hAnsi="Times New Roman" w:cs="Times New Roman"/>
          <w:noProof/>
          <w:sz w:val="24"/>
          <w:szCs w:val="24"/>
        </w:rPr>
        <w:t>.,</w:t>
      </w:r>
      <w:r w:rsidR="00385A6D" w:rsidRPr="008B39E1">
        <w:rPr>
          <w:rFonts w:ascii="Times New Roman" w:hAnsi="Times New Roman" w:cs="Times New Roman"/>
          <w:noProof/>
          <w:sz w:val="24"/>
          <w:szCs w:val="24"/>
        </w:rPr>
        <w:t xml:space="preserve"> 2021)</w:t>
      </w:r>
      <w:r w:rsidR="00385A6D" w:rsidRPr="008B39E1">
        <w:rPr>
          <w:rFonts w:ascii="Times New Roman" w:hAnsi="Times New Roman" w:cs="Times New Roman"/>
          <w:sz w:val="24"/>
          <w:szCs w:val="24"/>
        </w:rPr>
        <w:fldChar w:fldCharType="end"/>
      </w:r>
      <w:r w:rsidR="00385A6D" w:rsidRPr="008B39E1">
        <w:rPr>
          <w:rFonts w:ascii="Times New Roman" w:hAnsi="Times New Roman" w:cs="Times New Roman"/>
          <w:sz w:val="24"/>
          <w:szCs w:val="24"/>
        </w:rPr>
        <w:t xml:space="preserve">. Of particular relevance to our study, </w:t>
      </w:r>
      <w:r w:rsidR="00385A6D" w:rsidRPr="008B39E1">
        <w:rPr>
          <w:rFonts w:ascii="Times New Roman" w:hAnsi="Times New Roman" w:cs="Times New Roman"/>
          <w:sz w:val="24"/>
          <w:szCs w:val="24"/>
        </w:rPr>
        <w:fldChar w:fldCharType="begin" w:fldLock="1"/>
      </w:r>
      <w:r w:rsidR="00385A6D" w:rsidRPr="008B39E1">
        <w:rPr>
          <w:rFonts w:ascii="Times New Roman" w:hAnsi="Times New Roman" w:cs="Times New Roman"/>
          <w:sz w:val="24"/>
          <w:szCs w:val="24"/>
        </w:rPr>
        <w:instrText>ADDIN CSL_CITATION {"citationItems":[{"id":"ITEM-1","itemData":{"DOI":"10.2308/horizons-16-153","abstract":"We examine the association between firms’ county-level social capital and their internal control quality, measured by the disclosure of material weaknesses in their auditors’ report on internal control over financial reporting (ICFR). Using a sample of 22,656 firm-year observations for the period 2004-2014, and a measure of social capital provided by the Northeast Regional Center for Rural Development (NRCRD), we document that, after controlling for auditor effort, firms headquartered in US counties with higher social capital are less likely to have ineffective ICFR than those located in areas with lower social capital. More important, we find, fairly consistently in multiple tests, that this association holds for ineffective internal control arising from entity- level, but not account-specific, material weaknesses. Since entity-level internal control weaknesses have been shown to have adverse effects on a number of outcomes (in addition to financial reporting quality), such as firm performance, credit ratings and internal capital allocation efficiency, future studies can explore whether social capital could affect these outcomes indirectly through its effect on entity-level internal controls.","author":[{"dropping-particle":"","family":"Krishnan","given":"Jayanthi","non-dropping-particle":"","parse-names":false,"suffix":""},{"dropping-particle":"","family":"Lee","given":"Sang Mook","non-dropping-particle":"","parse-names":false,"suffix":""},{"dropping-particle":"","family":"Son","given":"Myungsoo","non-dropping-particle":"","parse-names":false,"suffix":""},{"dropping-particle":"","family":"Song","given":"Hakjoon","non-dropping-particle":"","parse-names":false,"suffix":""}],"container-title":"Accounting Horizons","id":"ITEM-1","issued":{"date-parts":[["2021"]]},"title":"Social Capital and Internal Control Material Weaknesses","type":"article-journal"},"uris":["http://www.mendeley.com/documents/?uuid=9646da42-87c0-40f6-82d0-c2bd00310669"]}],"mendeley":{"formattedCitation":"(Krishnan et al. 2021)","manualFormatting":"Krishnan et al. (2021)","plainTextFormattedCitation":"(Krishnan et al. 2021)","previouslyFormattedCitation":"(Krishnan et al. 2021)"},"properties":{"noteIndex":0},"schema":"https://github.com/citation-style-language/schema/raw/master/csl-citation.json"}</w:instrText>
      </w:r>
      <w:r w:rsidR="00385A6D" w:rsidRPr="008B39E1">
        <w:rPr>
          <w:rFonts w:ascii="Times New Roman" w:hAnsi="Times New Roman" w:cs="Times New Roman"/>
          <w:sz w:val="24"/>
          <w:szCs w:val="24"/>
        </w:rPr>
        <w:fldChar w:fldCharType="separate"/>
      </w:r>
      <w:r w:rsidR="00385A6D" w:rsidRPr="008B39E1">
        <w:rPr>
          <w:rFonts w:ascii="Times New Roman" w:hAnsi="Times New Roman" w:cs="Times New Roman"/>
          <w:noProof/>
          <w:sz w:val="24"/>
          <w:szCs w:val="24"/>
        </w:rPr>
        <w:t xml:space="preserve">Krishnan </w:t>
      </w:r>
      <w:r w:rsidR="00ED2DA4" w:rsidRPr="008B39E1">
        <w:rPr>
          <w:rFonts w:ascii="Times New Roman" w:hAnsi="Times New Roman" w:cs="Times New Roman"/>
          <w:i/>
          <w:noProof/>
          <w:sz w:val="24"/>
          <w:szCs w:val="24"/>
        </w:rPr>
        <w:t>et al</w:t>
      </w:r>
      <w:r w:rsidR="00385A6D" w:rsidRPr="008B39E1">
        <w:rPr>
          <w:rFonts w:ascii="Times New Roman" w:hAnsi="Times New Roman" w:cs="Times New Roman"/>
          <w:noProof/>
          <w:sz w:val="24"/>
          <w:szCs w:val="24"/>
        </w:rPr>
        <w:t>. (2021)</w:t>
      </w:r>
      <w:r w:rsidR="00385A6D" w:rsidRPr="008B39E1">
        <w:rPr>
          <w:rFonts w:ascii="Times New Roman" w:hAnsi="Times New Roman" w:cs="Times New Roman"/>
          <w:sz w:val="24"/>
          <w:szCs w:val="24"/>
        </w:rPr>
        <w:fldChar w:fldCharType="end"/>
      </w:r>
      <w:r w:rsidR="00385A6D" w:rsidRPr="008B39E1">
        <w:rPr>
          <w:rFonts w:ascii="Times New Roman" w:hAnsi="Times New Roman" w:cs="Times New Roman"/>
          <w:sz w:val="24"/>
          <w:szCs w:val="24"/>
        </w:rPr>
        <w:t xml:space="preserve"> shows a positive association between social capital </w:t>
      </w:r>
      <w:r w:rsidR="00385A6D" w:rsidRPr="008B39E1">
        <w:rPr>
          <w:rFonts w:ascii="Times New Roman" w:hAnsi="Times New Roman" w:cs="Times New Roman"/>
          <w:i/>
          <w:iCs/>
          <w:sz w:val="24"/>
          <w:szCs w:val="24"/>
        </w:rPr>
        <w:t>levels</w:t>
      </w:r>
      <w:r w:rsidR="00385A6D" w:rsidRPr="008B39E1">
        <w:rPr>
          <w:rFonts w:ascii="Times New Roman" w:hAnsi="Times New Roman" w:cs="Times New Roman"/>
          <w:sz w:val="24"/>
          <w:szCs w:val="24"/>
        </w:rPr>
        <w:t xml:space="preserve"> and internal control quality and attributes this association to social capital monitoring management. We posit that social capital also measures employees’ attachment to their local communities. Thus, we focus on </w:t>
      </w:r>
      <w:r w:rsidR="00385A6D" w:rsidRPr="008B39E1">
        <w:rPr>
          <w:rFonts w:ascii="Times New Roman" w:hAnsi="Times New Roman" w:cs="Times New Roman"/>
          <w:i/>
          <w:iCs/>
          <w:sz w:val="24"/>
          <w:szCs w:val="24"/>
        </w:rPr>
        <w:t>changes</w:t>
      </w:r>
      <w:r w:rsidR="00385A6D" w:rsidRPr="008B39E1">
        <w:rPr>
          <w:rFonts w:ascii="Times New Roman" w:hAnsi="Times New Roman" w:cs="Times New Roman"/>
          <w:sz w:val="24"/>
          <w:szCs w:val="24"/>
        </w:rPr>
        <w:t xml:space="preserve"> in social capital to capture disruption of employees’ local attachment. Our finding that both increases and decreases in social capital adversely impacts internal control quality adds insights beyond </w:t>
      </w:r>
      <w:r w:rsidR="00385A6D" w:rsidRPr="008B39E1">
        <w:rPr>
          <w:rFonts w:ascii="Times New Roman" w:hAnsi="Times New Roman" w:cs="Times New Roman"/>
          <w:sz w:val="24"/>
          <w:szCs w:val="24"/>
        </w:rPr>
        <w:fldChar w:fldCharType="begin" w:fldLock="1"/>
      </w:r>
      <w:r w:rsidR="00385A6D" w:rsidRPr="008B39E1">
        <w:rPr>
          <w:rFonts w:ascii="Times New Roman" w:hAnsi="Times New Roman" w:cs="Times New Roman"/>
          <w:sz w:val="24"/>
          <w:szCs w:val="24"/>
        </w:rPr>
        <w:instrText>ADDIN CSL_CITATION {"citationItems":[{"id":"ITEM-1","itemData":{"DOI":"10.2308/horizons-16-153","abstract":"We examine the association between firms’ county-level social capital and their internal control quality, measured by the disclosure of material weaknesses in their auditors’ report on internal control over financial reporting (ICFR). Using a sample of 22,656 firm-year observations for the period 2004-2014, and a measure of social capital provided by the Northeast Regional Center for Rural Development (NRCRD), we document that, after controlling for auditor effort, firms headquartered in US counties with higher social capital are less likely to have ineffective ICFR than those located in areas with lower social capital. More important, we find, fairly consistently in multiple tests, that this association holds for ineffective internal control arising from entity- level, but not account-specific, material weaknesses. Since entity-level internal control weaknesses have been shown to have adverse effects on a number of outcomes (in addition to financial reporting quality), such as firm performance, credit ratings and internal capital allocation efficiency, future studies can explore whether social capital could affect these outcomes indirectly through its effect on entity-level internal controls.","author":[{"dropping-particle":"","family":"Krishnan","given":"Jayanthi","non-dropping-particle":"","parse-names":false,"suffix":""},{"dropping-particle":"","family":"Lee","given":"Sang Mook","non-dropping-particle":"","parse-names":false,"suffix":""},{"dropping-particle":"","family":"Son","given":"Myungsoo","non-dropping-particle":"","parse-names":false,"suffix":""},{"dropping-particle":"","family":"Song","given":"Hakjoon","non-dropping-particle":"","parse-names":false,"suffix":""}],"container-title":"Accounting Horizons","id":"ITEM-1","issued":{"date-parts":[["2021"]]},"title":"Social Capital and Internal Control Material Weaknesses","type":"article-journal"},"uris":["http://www.mendeley.com/documents/?uuid=9646da42-87c0-40f6-82d0-c2bd00310669"]}],"mendeley":{"formattedCitation":"(Krishnan et al. 2021)","manualFormatting":"Krishnan et al. (2021","plainTextFormattedCitation":"(Krishnan et al. 2021)","previouslyFormattedCitation":"(Krishnan et al. 2021)"},"properties":{"noteIndex":0},"schema":"https://github.com/citation-style-language/schema/raw/master/csl-citation.json"}</w:instrText>
      </w:r>
      <w:r w:rsidR="00385A6D" w:rsidRPr="008B39E1">
        <w:rPr>
          <w:rFonts w:ascii="Times New Roman" w:hAnsi="Times New Roman" w:cs="Times New Roman"/>
          <w:sz w:val="24"/>
          <w:szCs w:val="24"/>
        </w:rPr>
        <w:fldChar w:fldCharType="separate"/>
      </w:r>
      <w:r w:rsidR="00385A6D" w:rsidRPr="008B39E1">
        <w:rPr>
          <w:rFonts w:ascii="Times New Roman" w:hAnsi="Times New Roman" w:cs="Times New Roman"/>
          <w:noProof/>
          <w:sz w:val="24"/>
          <w:szCs w:val="24"/>
        </w:rPr>
        <w:t xml:space="preserve">Krishnan </w:t>
      </w:r>
      <w:r w:rsidR="00ED2DA4" w:rsidRPr="008B39E1">
        <w:rPr>
          <w:rFonts w:ascii="Times New Roman" w:hAnsi="Times New Roman" w:cs="Times New Roman"/>
          <w:i/>
          <w:noProof/>
          <w:sz w:val="24"/>
          <w:szCs w:val="24"/>
        </w:rPr>
        <w:t>et al</w:t>
      </w:r>
      <w:r w:rsidR="00385A6D" w:rsidRPr="008B39E1">
        <w:rPr>
          <w:rFonts w:ascii="Times New Roman" w:hAnsi="Times New Roman" w:cs="Times New Roman"/>
          <w:noProof/>
          <w:sz w:val="24"/>
          <w:szCs w:val="24"/>
        </w:rPr>
        <w:t>. (2021</w:t>
      </w:r>
      <w:r w:rsidR="00385A6D" w:rsidRPr="008B39E1">
        <w:rPr>
          <w:rFonts w:ascii="Times New Roman" w:hAnsi="Times New Roman" w:cs="Times New Roman"/>
          <w:sz w:val="24"/>
          <w:szCs w:val="24"/>
        </w:rPr>
        <w:fldChar w:fldCharType="end"/>
      </w:r>
      <w:r w:rsidR="00385A6D" w:rsidRPr="008B39E1">
        <w:rPr>
          <w:rFonts w:ascii="Times New Roman" w:hAnsi="Times New Roman" w:cs="Times New Roman"/>
          <w:sz w:val="24"/>
          <w:szCs w:val="24"/>
        </w:rPr>
        <w:t>).</w:t>
      </w:r>
      <w:r w:rsidR="000F5A73" w:rsidRPr="008B39E1">
        <w:rPr>
          <w:rFonts w:ascii="Times New Roman" w:hAnsi="Times New Roman" w:cs="Times New Roman"/>
          <w:sz w:val="24"/>
          <w:szCs w:val="24"/>
        </w:rPr>
        <w:t xml:space="preserve"> </w:t>
      </w:r>
    </w:p>
    <w:p w14:paraId="6F598344" w14:textId="77777777" w:rsidR="00385A6D" w:rsidRPr="008B39E1" w:rsidRDefault="00385A6D" w:rsidP="00981B19">
      <w:pPr>
        <w:spacing w:after="0" w:line="48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II. BACKGROUND AND RESEARCH QUESTIONS</w:t>
      </w:r>
    </w:p>
    <w:p w14:paraId="5CB3688C" w14:textId="059ED4CF" w:rsidR="008F00DC"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lastRenderedPageBreak/>
        <w:t xml:space="preserve">Research relating to relocations generally focuses on motivating factors. Motivations include access to better talent and infrastructure, operational efficiency, tax incentives and abatements, future expansions, and branding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{"citationItems":[{"id":"ITEM-1","itemData":{"DOI":"10.1002/smj.541","ISSN":"01432095","abstract":"This paper examines the decision by a multinational corporation (MNC) to relocate its business unit and/or corporate HQ overseas. We argue that business unit HQs move overseas in response to changes in the internal configuration of their unit's activities and the demands of the product markets in which they operate, whereas corporate HQs move overseas in response to the demands of external stakeholders, in particular global financial markets and shareholders. Using data on 125 business unit HQs and 35 corporate HQs, we test and find support for these arguments. The research highlights important differences between corporate- and business-level strategy, and it suggests ways in which the theory of the MNC needs to be reconsidered. Copyright © 2006 John Wiley &amp; Sons, Ltd.","author":[{"dropping-particle":"","family":"Birkinshaw","given":"Julian","non-dropping-particle":"","parse-names":false,"suffix":""},{"dropping-particle":"","family":"Braunerhjelm","given":"Pontus","non-dropping-particle":"","parse-names":false,"suffix":""},{"dropping-particle":"","family":"Holm","given":"Ulf","non-dropping-particle":"","parse-names":false,"suffix":""},{"dropping-particle":"","family":"Terjesen","given":"Siri","non-dropping-particle":"","parse-names":false,"suffix":""}],"container-title":"Strategic Management Journal","id":"ITEM-1","issue":"7","issued":{"date-parts":[["2006"]]},"page":"681-700","title":"Why do some multinational corporations relocate their headquarters overseas?","type":"article-journal","volume":"27"},"uris":["http://www.mendeley.com/documents/?uuid=e6afb729-7e2c-45ee-977d-819862b8cc82"]},{"id":"ITEM-2","itemData":{"DOI":"10.1287/mnsc.2020.3906","ISSN":"0025-1909","abstract":"This study examines the effects of jurisdictions’ corporate taxes and other policies on firms’ headquarters (HQ) location decisions. Using changes in state corporate income tax rates across time and states as the setting, we find that a one-percentage-point increase in the HQ state corporate income tax rate increases the likelihood of firms relocating their HQ out of the state by 16.8%, and an equivalent decrease in the HQ state rate decreases the likelihood of HQ relocations by 9.1%. Exploiting the unique tax policy features within the state apportionment system lends strong support to the interpretation that taxation drives this effect. Our analyses also demonstrate that state income tax features affect the destination of the HQ move. We contribute to the literature on corporate decision making by showing how state income taxation affects a real corporate decision that has significant economic consequences for the company and the state.This paper was accepted by Brian Bushee, accounting.","author":[{"dropping-particle":"","family":"Chow","given":"Travis","non-dropping-particle":"","parse-names":false,"suffix":""},{"dropping-particle":"","family":"Huang","given":"Sterling","non-dropping-particle":"","parse-names":false,"suffix":""},{"dropping-particle":"","family":"Klassen","given":"Kenneth J.","non-dropping-particle":"","parse-names":false,"suffix":""},{"dropping-particle":"","family":"Ng","given":"Jeffrey","non-dropping-particle":"","parse-names":false,"suffix":""}],"container-title":"Management Science","id":"ITEM-2","issue":"January 2022","issued":{"date-parts":[["2021"]]},"title":"The Influence of Corporate Income Taxes on Investment Location: Evidence from Corporate Headquarters Relocations","type":"article-journal"},"uris":["http://www.mendeley.com/documents/?uuid=29562ba2-2067-46af-8656-67183a8c6e4a"]},{"id":"ITEM-3","itemData":{"DOI":"10.1016/j.regsciurbeco.2008.07.001","ISSN":"01660462","abstract":"This paper analyzes decisions regarding the location of headquarters in the U.S. for the period 1996-2001. Using a unique fi{ligature}rm-level database of about 30,000 U.S. headquarters, we study the fi{ligature}rm- and location-specifi{ligature}c characteristics of headquarters that relocated over that period. Headquarters are concentrated, increasingly so in medium-sized service-oriented metropolitan areas, and the rate of relocation is signifi{ligature}cant (5% a year). Larger (in terms of sales) and younger headquarters tend to relocate more often, as well as larger (in terms of the number of headquarters) and foreign fi{ligature}rms, and fi{ligature}rms that are the outcome of a merger. Headquarters relocate to metropolitan areas with good airport facilities-with a dramatic impact, low corporate taxes, low average wages, high level of business services, same industry specialization, and agglomeration of headquarters in the same sector of activity-with all agglomeration variables having an important and signifi{ligature}cant impact. © 2008.","author":[{"dropping-particle":"","family":"Strauss-Kahn","given":"Vanessa","non-dropping-particle":"","parse-names":false,"suffix":""},{"dropping-particle":"","family":"Vives","given":"Xavier","non-dropping-particle":"","parse-names":false,"suffix":""}],"container-title":"Regional Science and Urban Economics","id":"ITEM-3","issue":"2","issued":{"date-parts":[["2009"]]},"page":"168-186","publisher":"Elsevier B.V.","title":"Why and where do headquarters move?","type":"article-journal","volume":"39"},"uris":["http://www.mendeley.com/documents/?uuid=8627f5fd-d267-4fac-9fb6-174d375ad964"]}],"mendeley":{"formattedCitation":"(Birkinshaw et al. 2006; Chow et al. 2021; Strauss-Kahn and Vives 2009)","manualFormatting":"(Birkinshaw, Braunerhjelm, Holm, and Terjesen 2006; Strauss-Kahn and Vives 2009; Chow, Huang, Klassen, and Ng 2021).","plainTextFormattedCitation":"(Birkinshaw et al. 2006; Chow et al. 2021; Strauss-Kahn and Vives 2009)","previouslyFormattedCitation":"(Birkinshaw et al. 2006; Chow et al. 2021; Strauss-Kahn and Vives 2009)"},"properties":{"noteIndex":0},"schema":"https://github.com/citation-style-language/schema/raw/master/csl-citation.json"}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(Birkinshaw, Braunerhjelm, Holm, and Terjesen</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2006; Strauss-Kahn and Vives</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2009; Chow, Huang, Klassen, and Ng</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2021)</w:t>
      </w:r>
      <w:r w:rsidRPr="008B39E1">
        <w:rPr>
          <w:rFonts w:ascii="Times New Roman" w:hAnsi="Times New Roman" w:cs="Times New Roman"/>
          <w:sz w:val="24"/>
          <w:szCs w:val="24"/>
        </w:rPr>
        <w:fldChar w:fldCharType="end"/>
      </w:r>
      <w:r w:rsidR="002F4C5B" w:rsidRPr="008B39E1">
        <w:rPr>
          <w:rFonts w:ascii="Times New Roman" w:hAnsi="Times New Roman" w:cs="Times New Roman"/>
          <w:sz w:val="24"/>
          <w:szCs w:val="24"/>
        </w:rPr>
        <w:t>.</w:t>
      </w:r>
      <w:r w:rsidR="002F4C5B" w:rsidRPr="008B39E1">
        <w:rPr>
          <w:rStyle w:val="FootnoteReference"/>
          <w:rFonts w:ascii="Times New Roman" w:hAnsi="Times New Roman" w:cs="Times New Roman"/>
          <w:sz w:val="24"/>
          <w:szCs w:val="24"/>
        </w:rPr>
        <w:footnoteReference w:id="9"/>
      </w:r>
      <w:r w:rsidRPr="008B39E1">
        <w:rPr>
          <w:rFonts w:ascii="Times New Roman" w:hAnsi="Times New Roman" w:cs="Times New Roman"/>
          <w:sz w:val="24"/>
          <w:szCs w:val="24"/>
        </w:rPr>
        <w:t xml:space="preserve"> Some studies document positive stock market reactions when firms relocate to improve operations or reduce costs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{"citationItems":[{"id":"ITEM-1","itemData":{"DOI":"10.2307/2331254","ISSN":"00221090","abstract":"We investigate the stock market reaction to 447 announcements of business relocation decisions in the 1978-1990 period. We find that the stock market reaction to such decisions is tied to the motive for the relocation and the implied prospects for the firm, with the type of facility being relocated playing an insignificant role. Our finding reconciles several results in the literature concerning the stock market reaction to announcements of capital investment decisions.","author":[{"dropping-particle":"","family":"Chan","given":"Su Han","non-dropping-particle":"","parse-names":false,"suffix":""},{"dropping-particle":"","family":"Gau","given":"George W.","non-dropping-particle":"","parse-names":false,"suffix":""},{"dropping-particle":"","family":"Wang","given":"Ko","non-dropping-particle":"","parse-names":false,"suffix":""}],"container-title":"The Journal of Financial and Quantitative Analysis","id":"ITEM-1","issue":"1","issued":{"date-parts":[["1995"]]},"page":"81","title":"Stock Market Reaction to Capital Investment Decisions: Evidence from Business Relocations","type":"article-journal","volume":"30"},"uris":["http://www.mendeley.com/documents/?uuid=8cd47107-3961-4fd4-8108-d47b5864aa84"]}],"mendeley":{"formattedCitation":"(Chan et al. 1995)","manualFormatting":"Chan, Gau, and Wang 1995)","plainTextFormattedCitation":"(Chan et al. 1995)","previouslyFormattedCitation":"(Chan et al. 1995)"},"properties":{"noteIndex":0},"schema":"https://github.com/citation-style-language/schema/raw/master/csl-citation.json"}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Chan, Gau, and Wang</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1995)</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However, research on the immediate outcomes of relocation is sparse. One study,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{"citationItems":[{"id":"ITEM-1","itemData":{"DOI":"10.1177/0891242405276360","ISSN":"08912424","abstract":"Communities often compete fiercely for corporate headquarters relocations. Although headquarters relocations affect both the losing and winning communities, the authors investigate only the impact of corporate headquarters relocation on the subsequent financial performance of the firm. Prior research using event study methodology suggests that headquarters relocation announcements, when controlling for motivation of relocation, significantly affect short-term stock market reactions. Unlike previous research in this area, the authors use an industry-matched-firm comparison and investigate the impact of relocation on select performance indicators over a 6-year period surrounding the relocation. Using a sample of 167 corporate headquarters relocations during the 1990s, they find little evidence of improved operating performance after headquarters relocation. They also test for the influence of distance as a factor and find that the distance relocated has no significant impact. © 2005 Sage Publications.","author":[{"dropping-particle":"","family":"Gregory","given":"Richard","non-dropping-particle":"","parse-names":false,"suffix":""},{"dropping-particle":"","family":"Lombard","given":"John R.","non-dropping-particle":"","parse-names":false,"suffix":""},{"dropping-particle":"","family":"Seifert","given":"Bruce","non-dropping-particle":"","parse-names":false,"suffix":""}],"container-title":"Economic Development Quarterly","id":"ITEM-1","issue":"3","issued":{"date-parts":[["2005"]]},"page":"260-270","title":"Impact of headquarters relocation on the operating performance of the firm","type":"article-journal","volume":"19"},"uris":["http://www.mendeley.com/documents/?uuid=e15017f0-75f7-4491-a648-dc149a8a3d51"]}],"mendeley":{"formattedCitation":"(Gregory et al. 2005)","manualFormatting":"Gregory, Lombard, and Seifert (2005)","plainTextFormattedCitation":"(Gregory et al. 2005)","previouslyFormattedCitation":"(Gregory et al. 2005)"},"properties":{"noteIndex":0},"schema":"https://github.com/citation-style-language/schema/raw/master/csl-citation.json"}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Gregory, Lombard, and Seifert (2005)</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examines firm performance. Using the six years surrounding relocation and an industry-matched sample it documents measures such as return on assets and equity do not significantly improve following relocati</w:t>
      </w:r>
      <w:r w:rsidR="00093D98" w:rsidRPr="008B39E1">
        <w:rPr>
          <w:rFonts w:ascii="Times New Roman" w:hAnsi="Times New Roman" w:cs="Times New Roman"/>
          <w:sz w:val="24"/>
          <w:szCs w:val="24"/>
        </w:rPr>
        <w:t>ons.</w:t>
      </w:r>
      <w:r w:rsidR="00093D98" w:rsidRPr="008B39E1">
        <w:rPr>
          <w:rStyle w:val="FootnoteReference"/>
          <w:rFonts w:ascii="Times New Roman" w:hAnsi="Times New Roman" w:cs="Times New Roman"/>
          <w:sz w:val="24"/>
          <w:szCs w:val="24"/>
        </w:rPr>
        <w:footnoteReference w:id="10"/>
      </w:r>
      <w:r w:rsidRPr="008B39E1">
        <w:rPr>
          <w:rFonts w:ascii="Times New Roman" w:hAnsi="Times New Roman" w:cs="Times New Roman"/>
          <w:sz w:val="24"/>
          <w:szCs w:val="24"/>
        </w:rPr>
        <w:t xml:space="preserve"> Gregory </w:t>
      </w:r>
      <w:r w:rsidR="00ED2DA4" w:rsidRPr="008B39E1">
        <w:rPr>
          <w:rFonts w:ascii="Times New Roman" w:hAnsi="Times New Roman" w:cs="Times New Roman"/>
          <w:i/>
          <w:sz w:val="24"/>
          <w:szCs w:val="24"/>
        </w:rPr>
        <w:t>et al</w:t>
      </w:r>
      <w:r w:rsidRPr="008B39E1">
        <w:rPr>
          <w:rFonts w:ascii="Times New Roman" w:hAnsi="Times New Roman" w:cs="Times New Roman"/>
          <w:sz w:val="24"/>
          <w:szCs w:val="24"/>
        </w:rPr>
        <w:t xml:space="preserve">. (2005) also do not find significant effects in firm performance between short and long-distance relocations. </w:t>
      </w:r>
    </w:p>
    <w:p w14:paraId="580DC2F6" w14:textId="171370F2"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We suggest that </w:t>
      </w:r>
      <w:r w:rsidR="009815B1" w:rsidRPr="008B39E1">
        <w:rPr>
          <w:rFonts w:ascii="Times New Roman" w:hAnsi="Times New Roman" w:cs="Times New Roman"/>
          <w:sz w:val="24"/>
          <w:szCs w:val="24"/>
        </w:rPr>
        <w:t>the impact</w:t>
      </w:r>
      <w:r w:rsidRPr="008B39E1">
        <w:rPr>
          <w:rFonts w:ascii="Times New Roman" w:hAnsi="Times New Roman" w:cs="Times New Roman"/>
          <w:sz w:val="24"/>
          <w:szCs w:val="24"/>
        </w:rPr>
        <w:t xml:space="preserve"> of relocation on the firm’s </w:t>
      </w:r>
      <w:r w:rsidRPr="008B39E1">
        <w:rPr>
          <w:rFonts w:ascii="Times New Roman" w:hAnsi="Times New Roman" w:cs="Times New Roman"/>
          <w:i/>
          <w:iCs/>
          <w:sz w:val="24"/>
          <w:szCs w:val="24"/>
        </w:rPr>
        <w:t>internal control</w:t>
      </w:r>
      <w:r w:rsidRPr="008B39E1">
        <w:rPr>
          <w:rFonts w:ascii="Times New Roman" w:hAnsi="Times New Roman" w:cs="Times New Roman"/>
          <w:sz w:val="24"/>
          <w:szCs w:val="24"/>
        </w:rPr>
        <w:t xml:space="preserve"> is an important outcome to investigate because it in turn can affect firm operations and financial performance. Weak internal control quality is associated with more erroneous internal reports and lower firm operational efficiency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{"citationItems":[{"id":"ITEM-1","itemData":{"DOI":"10.1111/1911-3846.12409","ISSN":"19113846","abstract":"In this study, we examine whether internal control over financial reporting affects firm operational efficiency. We find that operational efficiency, derived from frontier analysis, is significantly lower among firms with material weaknesses in internal control relative to firms without such weaknesses. We also find that the remediation of material weaknesses leads to an improvement in operational efficiency. Additional analyses indicate that the negative effect of material weaknesses on operational efficiency is stronger for firms with a greater demand for higher quality information for decision making, for weaknesses that are deemed to be more severe, and to a certain extent, for smaller firms. Overall, our study extends the literature by presenting systematic evidence on the effect of effective internal control on operational efficiency and informs the debate over the costs and benefits of the internal control reporting requirements under the Sarbanes-Oxley Act of 2002.","author":[{"dropping-particle":"","family":"Cheng","given":"Qiang","non-dropping-particle":"","parse-names":false,"suffix":""},{"dropping-particle":"","family":"Goh","given":"Beng Wee","non-dropping-particle":"","parse-names":false,"suffix":""},{"dropping-particle":"","family":"Kim","given":"Jae B.","non-dropping-particle":"","parse-names":false,"suffix":""}],"container-title":"Contemporary Accounting Research","id":"ITEM-1","issue":"2","issued":{"date-parts":[["2018"]]},"note":"ICMWs bad of operational efficiency\n\nICMWs --&amp;gt; erroneous internal reports --&amp;gt; lower operational efficiency","page":"1102-1139","title":"Internal Control and Operational Efficiency","type":"article-journal","volume":"35"},"uris":["http://www.mendeley.com/documents/?uuid=c4e13786-73c6-4bf9-96f3-c0bd9325e17f"]}],"mendeley":{"formattedCitation":"(Cheng et al. 2018)","manualFormatting":"Cheng et al. 2018)","plainTextFormattedCitation":"(Cheng et al. 2018)","previouslyFormattedCitation":"(Cheng et al. 2018)"},"properties":{"noteIndex":0},"schema":"https://github.com/citation-style-language/schema/raw/master/csl-citation.json"}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 xml:space="preserve">Cheng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2018)</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fraudulent reporting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{"citationItems":[{"id":"ITEM-1","itemData":{"DOI":"10.2308/ajpt-51608","ISSN":"15587991","abstract":"SUMMARY: This study examines whether and how weak internal controls increase the risk of financial reporting fraud by top managers. There is a longstanding debate on whether control strength significantly affects fraud risk, yet little evidence on this issue. Further, there is no evidence on the mechanism linking control strength to fraud risk. We find a strong association between material weaknesses and future fraud revelation. We theorize that this link could be attributable to weak controls (1) giving managers greater opportunity to commit fraud, or (2) signaling a management characteristic that does not emphasize reporting quality and integrity. We find support for the opportunity explanation, but not through specific accounts linked to control weaknesses. Instead, consistent with the PCAOB’s assertion, weaknesses in entity-wide controls, not process-level controls, are associated with a higher risk of reporting fraud.","author":[{"dropping-particle":"","family":"Donelson","given":"Dain C.","non-dropping-particle":"","parse-names":false,"suffix":""},{"dropping-particle":"","family":"Ege","given":"Matthew S.","non-dropping-particle":"","parse-names":false,"suffix":""},{"dropping-particle":"","family":"McInnis","given":"John M.","non-dropping-particle":"","parse-names":false,"suffix":""}],"container-title":"Auditing: A Journal of Practice &amp; Theory","id":"ITEM-1","issue":"3","issued":{"date-parts":[["2017"]]},"note":"weak IC inc. risk of fin. reporting fraud","page":"45-69","title":"Internal Control Weaknesses and Financial Reporting Fraud","type":"article-journal","volume":"36"},"uris":["http://www.mendeley.com/documents/?uuid=3603c710-bd04-4348-84b1-61d8030d5d3b"]}],"mendeley":{"formattedCitation":"(Donelson et al. 2017)","plainTextFormattedCitation":"(Donelson et al. 2017)","previouslyFormattedCitation":"(Donelson et al. 2017)"},"properties":{"noteIndex":0},"schema":"https://github.com/citation-style-language/schema/raw/master/csl-citation.json"}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 xml:space="preserve">(Donelson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2017)</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real earnings management,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{"citationItems":[{"id":"ITEM-1","itemData":{"DOI":"10.2308/acch-51310","ISSN":"15587975","abstract":"The purpose of this study is to investigate whether SOX Section 404 material weaknesses manifest in real earnings management behavior. The empirical findings indicate that, compared to companies with effective internal controls, companies with existing material weaknesses in their internal controls engage in more manipulation of real activities (particularly inventory overproduction). This implies that the weak commitment by management to provide effective internal control system and high-quality financial information relates to a tendency to use real earnings management methods. Moreover, we find evidence suggesting that companies employ real earnings management (overproduction and reduction of discretionary expenses) after disclosing previous year’s material weaknesses. We conjecture that the public disclosure of material weaknesses induces management to strive to mitigate the expected negative reactions of stakeholders to the disclosure by engaging in real earnings management, which is not easily detected or constrained by outsiders. Overall, this study suggests that material weaknesses in internal controls signal an environment where management is more inclined to employ real earnings management.","author":[{"dropping-particle":"","family":"Järvinen","given":"Tuukka","non-dropping-particle":"","parse-names":false,"suffix":""},{"dropping-particle":"","family":"Myllymäki","given":"Emma Riikka","non-dropping-particle":"","parse-names":false,"suffix":""}],"container-title":"The Accounting Horizons","id":"ITEM-1","issue":"1","issued":{"date-parts":[["2016"]]},"page":"93-118","title":"Real earnings management before and after reporting SOX 404 material weaknesses","type":"article-journal","volume":"30"},"uris":["http://www.mendeley.com/documents/?uuid=534f0f1e-6dca-4777-ad7e-6de0b27f2617"]}],"mendeley":{"formattedCitation":"(Järvinen and Myllymäki 2016)","plainTextFormattedCitation":"(Järvinen and Myllymäki 2016)","previouslyFormattedCitation":"(Järvinen and Myllymäki 2016)"},"properties":{"noteIndex":0},"schema":"https://github.com/citation-style-language/schema/raw/master/csl-citation.json"}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(Järvinen and Myllymäki</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2016)</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and weaker earnings quality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{"citationItems":[{"id":"ITEM-1","itemData":{"DOI":"10.1007/s11156-013-0431-3","ISSN":"15737179","abstract":"Previous studies demonstrate that the quality of audit services provided by industry specialist auditors is higher than that of non-specialist auditors (e.g., Reichelt and Wang in J Account Res 48(3):647–686, 2010; Gul et al. in J Account Econ 47:265–287, 2009; Payne in Audit J Pract Theory 27(2):109–136, 2008; Balsam et al. in Audit J Pract Theory 22(2):71–97, 2003; Krishnan in Account Horizons (Supplement):1–16, 2003). Implementation of Section 404 of the Sarbanes–Oxley Act (SOX) presents special challenges to auditors to maintain the credibility of audit services when their clients have internal control weaknesses (ICW). This study examines whether audits of ICW firms by industry-specialists reflect a better earnings quality compared to audits by non-specialists in the post-SOX period. We use the matched pair sample constructed on the basis of propensity score matching process that controls for endogeneity and auditor’s self-selection bias and evaluate earnings quality measured in terms of performance-adjusted discretionary accruals and accruals quality. Our multivariate regression analyses produce evidence that earnings quality of the ICW firms audited by Big 4 industry specialists is higher than that of the ICW firms audited by Big 4 non-specialists. The superior specialist effect is, however, mainly confined to the firms having pervasive company-level control weaknesses. We find inconsequential difference between earnings quality of the firms with account-specific ICW regardless of whether they are audited by specialist and non-specialist auditors. Our additional analyses further show that any earnings quality difference between Big 4 and non-Big 4 clients is mainly attributed to specialist audit services provided by Big 4 auditors. We do not find any earnings quality difference between Big 4 non-specialists and non-Big 4 clients. Collectively, our study shows that in the enhanced regulatory post-SOX period, Big 4 auditors still provide higher quality audits if they have industry expertise, especially in a situation where companies have pervasive company-level control weaknesses.","author":[{"dropping-particle":"","family":"Jaggi","given":"Bikki","non-dropping-particle":"","parse-names":false,"suffix":""},{"dropping-particle":"","family":"Mitra","given":"Santanu","non-dropping-particle":"","parse-names":false,"suffix":""},{"dropping-particle":"","family":"Hossain","given":"Mahmud","non-dropping-particle":"","parse-names":false,"suffix":""}],"container-title":"Review of Quantitative Finance and Accounting","id":"ITEM-1","issue":"1","issued":{"date-parts":[["2015"]]},"page":"1-32","title":"Earnings Quality, Internal Control Weaknesses and Industry-Specialist Audits","type":"article-journal","volume":"45"},"uris":["http://www.mendeley.com/documents/?uuid=5f375489-2020-4d78-8b08-db166087b055"]}],"mendeley":{"formattedCitation":"(Jaggi et al. 2015)","plainTextFormattedCitation":"(Jaggi et al. 2015)","previouslyFormattedCitation":"(Jaggi et al. 2015)"},"properties":{"noteIndex":0},"schema":"https://github.com/citation-style-language/schema/raw/master/csl-citation.json"}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 xml:space="preserve">(Jaggi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2015)</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w:t>
      </w:r>
      <w:r w:rsidRPr="008B39E1">
        <w:rPr>
          <w:rStyle w:val="FootnoteReference"/>
          <w:rFonts w:ascii="Times New Roman" w:hAnsi="Times New Roman" w:cs="Times New Roman"/>
        </w:rPr>
        <w:footnoteReference w:id="11"/>
      </w:r>
      <w:r w:rsidRPr="008B39E1">
        <w:rPr>
          <w:rFonts w:ascii="Times New Roman" w:hAnsi="Times New Roman" w:cs="Times New Roman"/>
          <w:sz w:val="24"/>
          <w:szCs w:val="24"/>
        </w:rPr>
        <w:t xml:space="preserve"> </w:t>
      </w:r>
    </w:p>
    <w:p w14:paraId="22FD2991" w14:textId="7A95CBA6" w:rsidR="00385A6D" w:rsidRPr="008B39E1" w:rsidRDefault="00385A6D" w:rsidP="00981B19">
      <w:pPr>
        <w:spacing w:after="0" w:line="48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RQ1: Does Relocation result in lower </w:t>
      </w:r>
      <w:r w:rsidR="00564111" w:rsidRPr="008B39E1">
        <w:rPr>
          <w:rFonts w:ascii="Times New Roman" w:hAnsi="Times New Roman" w:cs="Times New Roman"/>
          <w:b/>
          <w:bCs/>
          <w:sz w:val="24"/>
          <w:szCs w:val="24"/>
        </w:rPr>
        <w:t xml:space="preserve">quality </w:t>
      </w:r>
      <w:r w:rsidRPr="008B39E1">
        <w:rPr>
          <w:rFonts w:ascii="Times New Roman" w:hAnsi="Times New Roman" w:cs="Times New Roman"/>
          <w:b/>
          <w:bCs/>
          <w:sz w:val="24"/>
          <w:szCs w:val="24"/>
        </w:rPr>
        <w:t>Internal Control</w:t>
      </w:r>
      <w:r w:rsidR="00564111" w:rsidRPr="008B39E1">
        <w:rPr>
          <w:rFonts w:ascii="Times New Roman" w:hAnsi="Times New Roman" w:cs="Times New Roman"/>
          <w:b/>
          <w:bCs/>
          <w:sz w:val="24"/>
          <w:szCs w:val="24"/>
        </w:rPr>
        <w:t xml:space="preserve"> over financial reporting</w:t>
      </w:r>
      <w:r w:rsidRPr="008B39E1">
        <w:rPr>
          <w:rFonts w:ascii="Times New Roman" w:hAnsi="Times New Roman" w:cs="Times New Roman"/>
          <w:b/>
          <w:bCs/>
          <w:sz w:val="24"/>
          <w:szCs w:val="24"/>
        </w:rPr>
        <w:t>?</w:t>
      </w:r>
    </w:p>
    <w:p w14:paraId="65305D1D" w14:textId="31963DB7"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A firm’s internal control quality is dependent on the quality of its employees. The COSO framework underscores the importance of firms retaining knowledgeable and competent </w:t>
      </w:r>
      <w:r w:rsidRPr="008B39E1">
        <w:rPr>
          <w:rFonts w:ascii="Times New Roman" w:hAnsi="Times New Roman" w:cs="Times New Roman"/>
          <w:sz w:val="24"/>
          <w:szCs w:val="24"/>
        </w:rPr>
        <w:lastRenderedPageBreak/>
        <w:t xml:space="preserve">employees for the proper functioning of internal controls and achieving firm objectives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{"citationItems":[{"id":"ITEM-1","itemData":{"URL":"www.coso.org","author":[{"dropping-particle":"","family":"COSO","given":"","non-dropping-particle":"","parse-names":false,"suffix":""}],"id":"ITEM-1","issued":{"date-parts":[["2013"]]},"title":"Internal Control—Integrated Framework","type":"webpage"},"uris":["http://www.mendeley.com/documents/?uuid=9a6aeab5-cdb0-4783-956a-957b74f376cc"]}],"mendeley":{"formattedCitation":"(COSO 2013)","plainTextFormattedCitation":"(COSO 2013)","previouslyFormattedCitation":"(COSO 2013)"},"properties":{"noteIndex":0},"schema":"https://github.com/citation-style-language/schema/raw/master/csl-citation.json"}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(COSO</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2013)</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Auditing Standards also highlight the importance of employee quality for effective internal controls and requires auditors to assess the competence of personnel responsible for a company’s internal controls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{"citationItems":[{"id":"ITEM-1","itemData":{"DOI":"10.1002/9781118979037.ch75","author":[{"dropping-particle":"","family":"PCAOB","given":"","non-dropping-particle":"","parse-names":false,"suffix":""}],"id":"ITEM-1","issued":{"date-parts":[["2010"]]},"title":"PCAOB 12 Identifying and Assessing Risks of Material Misstatement","type":"legislation"},"uris":["http://www.mendeley.com/documents/?uuid=6f2d6ad5-9d77-4e61-8245-99498afa917e"]}],"mendeley":{"formattedCitation":"(PCAOB 2010)","plainTextFormattedCitation":"(PCAOB 2010)","previouslyFormattedCitation":"(PCAOB 2010)"},"properties":{"noteIndex":0},"schema":"https://github.com/citation-style-language/schema/raw/master/csl-citation.json"}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(PCAOB</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2010)</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w:t>
      </w:r>
      <w:r w:rsidRPr="008B39E1">
        <w:rPr>
          <w:rStyle w:val="FootnoteReference"/>
          <w:rFonts w:ascii="Times New Roman" w:hAnsi="Times New Roman" w:cs="Times New Roman"/>
        </w:rPr>
        <w:footnoteReference w:id="12"/>
      </w:r>
      <w:r w:rsidRPr="008B39E1">
        <w:rPr>
          <w:rFonts w:ascii="Times New Roman" w:hAnsi="Times New Roman" w:cs="Times New Roman"/>
          <w:sz w:val="24"/>
          <w:szCs w:val="24"/>
        </w:rPr>
        <w:t xml:space="preserve"> </w:t>
      </w:r>
      <w:r w:rsidR="00C07844" w:rsidRPr="008B39E1">
        <w:rPr>
          <w:rFonts w:ascii="Times New Roman" w:hAnsi="Times New Roman" w:cs="Times New Roman"/>
          <w:sz w:val="24"/>
          <w:szCs w:val="24"/>
        </w:rPr>
        <w:t>Prior r</w:t>
      </w:r>
      <w:r w:rsidRPr="008B39E1">
        <w:rPr>
          <w:rFonts w:ascii="Times New Roman" w:hAnsi="Times New Roman" w:cs="Times New Roman"/>
          <w:sz w:val="24"/>
          <w:szCs w:val="24"/>
        </w:rPr>
        <w:t xml:space="preserve">esearch on the link between employees and internal control quality has </w:t>
      </w:r>
      <w:r w:rsidR="00C07844" w:rsidRPr="008B39E1">
        <w:rPr>
          <w:rFonts w:ascii="Times New Roman" w:hAnsi="Times New Roman" w:cs="Times New Roman"/>
          <w:sz w:val="24"/>
          <w:szCs w:val="24"/>
        </w:rPr>
        <w:t xml:space="preserve">been limited. </w:t>
      </w:r>
      <w:r w:rsidR="00C07844" w:rsidRPr="008B39E1">
        <w:rPr>
          <w:rFonts w:ascii="Times New Roman" w:hAnsi="Times New Roman" w:cs="Times New Roman"/>
          <w:sz w:val="24"/>
          <w:szCs w:val="24"/>
        </w:rPr>
        <w:fldChar w:fldCharType="begin" w:fldLock="1"/>
      </w:r>
      <w:r w:rsidR="00C07844" w:rsidRPr="008B39E1">
        <w:rPr>
          <w:rFonts w:ascii="Times New Roman" w:hAnsi="Times New Roman" w:cs="Times New Roman"/>
          <w:sz w:val="24"/>
          <w:szCs w:val="24"/>
        </w:rPr>
        <w:instrText>ADDIN CSL_CITATION {"citationItems":[{"id":"ITEM-1","itemData":{"DOI":"10.1016/j.jacceco.2017.06.003","ISSN":"01654101","abstract":"We examine the association between employee quality and financial reporting outcomes. Using the average workforce education level in MSA(s) where the firm operates as a proxy for employee quality, we find that firms with a high-quality workforce exhibit higher accruals quality, fewer internal control violations, and fewer restatements. These firms also issue superior management forecasts, in terms of frequency, timeliness, accuracy, precision, and bias. Employees located at the firm's headquarters primarily drive our findings. Our evidence suggests employee quality, particularly at a firm's headquarters, is associated with both mandatory and voluntary disclosure quality.","author":[{"dropping-particle":"","family":"Call","given":"Andrew C.","non-dropping-particle":"","parse-names":false,"suffix":""},{"dropping-particle":"","family":"Campbell","given":"John L.","non-dropping-particle":"","parse-names":false,"suffix":""},{"dropping-particle":"","family":"Dhaliwal","given":"Dan S.","non-dropping-particle":"","parse-names":false,"suffix":""},{"dropping-particle":"","family":"Moon","given":"James R.","non-dropping-particle":"","parse-names":false,"suffix":""}],"container-title":"Journal of Accounting and Economics","id":"ITEM-1","issue":"1","issued":{"date-parts":[["2017"]]},"page":"123-149","publisher":"Elsevier B.V.","title":"Employee quality and financial reporting outcomes","type":"article-journal","volume":"64"},"uris":["http://www.mendeley.com/documents/?uuid=c9062ee3-1f5b-4c2c-b8f5-996a0e9cb119"]}],"mendeley":{"formattedCitation":"(Call et al. 2017)","manualFormatting":"Call et al. (2017)","plainTextFormattedCitation":"(Call et al. 2017)","previouslyFormattedCitation":"(Call et al. 2017)"},"properties":{"noteIndex":0},"schema":"https://github.com/citation-style-language/schema/raw/master/csl-citation.json"}</w:instrText>
      </w:r>
      <w:r w:rsidR="00C07844" w:rsidRPr="008B39E1">
        <w:rPr>
          <w:rFonts w:ascii="Times New Roman" w:hAnsi="Times New Roman" w:cs="Times New Roman"/>
          <w:sz w:val="24"/>
          <w:szCs w:val="24"/>
        </w:rPr>
        <w:fldChar w:fldCharType="separate"/>
      </w:r>
      <w:r w:rsidR="00C07844" w:rsidRPr="008B39E1">
        <w:rPr>
          <w:rFonts w:ascii="Times New Roman" w:hAnsi="Times New Roman" w:cs="Times New Roman"/>
          <w:noProof/>
          <w:sz w:val="24"/>
          <w:szCs w:val="24"/>
        </w:rPr>
        <w:t xml:space="preserve">Call </w:t>
      </w:r>
      <w:r w:rsidR="00ED2DA4" w:rsidRPr="008B39E1">
        <w:rPr>
          <w:rFonts w:ascii="Times New Roman" w:hAnsi="Times New Roman" w:cs="Times New Roman"/>
          <w:i/>
          <w:noProof/>
          <w:sz w:val="24"/>
          <w:szCs w:val="24"/>
        </w:rPr>
        <w:t>et al</w:t>
      </w:r>
      <w:r w:rsidR="00C07844" w:rsidRPr="008B39E1">
        <w:rPr>
          <w:rFonts w:ascii="Times New Roman" w:hAnsi="Times New Roman" w:cs="Times New Roman"/>
          <w:noProof/>
          <w:sz w:val="24"/>
          <w:szCs w:val="24"/>
        </w:rPr>
        <w:t>. (2017)</w:t>
      </w:r>
      <w:r w:rsidR="00C07844" w:rsidRPr="008B39E1">
        <w:rPr>
          <w:rFonts w:ascii="Times New Roman" w:hAnsi="Times New Roman" w:cs="Times New Roman"/>
          <w:sz w:val="24"/>
          <w:szCs w:val="24"/>
        </w:rPr>
        <w:fldChar w:fldCharType="end"/>
      </w:r>
      <w:r w:rsidR="00C07844" w:rsidRPr="008B39E1">
        <w:rPr>
          <w:rFonts w:ascii="Times New Roman" w:hAnsi="Times New Roman" w:cs="Times New Roman"/>
          <w:sz w:val="24"/>
          <w:szCs w:val="24"/>
        </w:rPr>
        <w:t xml:space="preserve"> finds that firms with more educated employees exhibit fewer internal control weaknesses. </w:t>
      </w:r>
      <w:r w:rsidR="00C07844" w:rsidRPr="008B39E1">
        <w:rPr>
          <w:rFonts w:ascii="Times New Roman" w:hAnsi="Times New Roman" w:cs="Times New Roman"/>
          <w:sz w:val="24"/>
          <w:szCs w:val="24"/>
        </w:rPr>
        <w:fldChar w:fldCharType="begin" w:fldLock="1"/>
      </w:r>
      <w:r w:rsidR="00C07844" w:rsidRPr="008B39E1">
        <w:rPr>
          <w:rFonts w:ascii="Times New Roman" w:hAnsi="Times New Roman" w:cs="Times New Roman"/>
          <w:sz w:val="24"/>
          <w:szCs w:val="24"/>
        </w:rPr>
        <w:instrText>ADDIN CSL_CITATION {"citationItems":[{"id":"ITEM-1","itemData":{"DOI":"10.2308/accr-51269","ISSN":"00014826","abstract":"This study investigates the role of employment policies in reducing internal control ineffectiveness and financial restatements. We provide new evidence that employee treatment policies are an important predictor of ineffective internal control. We also find that employee-friendly policies significantly reduce the propensity for employee-related material weaknesses. These results suggest that greater employee benefits facilitate the acquisition, development, and motivation of the workforce and ameliorate the loss of valuable human capital, thereby mitigating employee failures to implement internal control tasks properly. Moreover, we document novel results that financial restatements, especially those caused by unintentional errors, are less likely to arise in firms that invest more in employee benefits. Collectively, our emphasis on the effect of employee treatment policies on the integrity of internal control and financial reporting distinguishes our paper from previous studies that focus on the role of top executives in accounting practices.","author":[{"dropping-particle":"","family":"Guo","given":"Jun","non-dropping-particle":"","parse-names":false,"suffix":""},{"dropping-particle":"","family":"Huang","given":"Pinghsun","non-dropping-particle":"","parse-names":false,"suffix":""},{"dropping-particle":"","family":"Zhang","given":"Yan","non-dropping-particle":"","parse-names":false,"suffix":""},{"dropping-particle":"","family":"Zhou","given":"Nan","non-dropping-particle":"","parse-names":false,"suffix":""}],"container-title":"The Accounting Review","id":"ITEM-1","issue":"4","issued":{"date-parts":[["2016"]]},"page":"1167-1194","title":"The effect of employee treatment policies on internal control weaknesses and financial restatements","type":"article-journal","volume":"91"},"uris":["http://www.mendeley.com/documents/?uuid=81993b2e-aab2-4f90-a166-4b5f8579539f"]}],"mendeley":{"formattedCitation":"(Guo et al. 2016)","manualFormatting":"Guo et al. (2016)","plainTextFormattedCitation":"(Guo et al. 2016)","previouslyFormattedCitation":"(Guo et al. 2016)"},"properties":{"noteIndex":0},"schema":"https://github.com/citation-style-language/schema/raw/master/csl-citation.json"}</w:instrText>
      </w:r>
      <w:r w:rsidR="00C07844" w:rsidRPr="008B39E1">
        <w:rPr>
          <w:rFonts w:ascii="Times New Roman" w:hAnsi="Times New Roman" w:cs="Times New Roman"/>
          <w:sz w:val="24"/>
          <w:szCs w:val="24"/>
        </w:rPr>
        <w:fldChar w:fldCharType="separate"/>
      </w:r>
      <w:r w:rsidR="00C07844" w:rsidRPr="008B39E1">
        <w:rPr>
          <w:rFonts w:ascii="Times New Roman" w:hAnsi="Times New Roman" w:cs="Times New Roman"/>
          <w:noProof/>
          <w:sz w:val="24"/>
          <w:szCs w:val="24"/>
        </w:rPr>
        <w:t xml:space="preserve">Guo </w:t>
      </w:r>
      <w:r w:rsidR="00ED2DA4" w:rsidRPr="008B39E1">
        <w:rPr>
          <w:rFonts w:ascii="Times New Roman" w:hAnsi="Times New Roman" w:cs="Times New Roman"/>
          <w:i/>
          <w:noProof/>
          <w:sz w:val="24"/>
          <w:szCs w:val="24"/>
        </w:rPr>
        <w:t>et al</w:t>
      </w:r>
      <w:r w:rsidR="00C07844" w:rsidRPr="008B39E1">
        <w:rPr>
          <w:rFonts w:ascii="Times New Roman" w:hAnsi="Times New Roman" w:cs="Times New Roman"/>
          <w:noProof/>
          <w:sz w:val="24"/>
          <w:szCs w:val="24"/>
        </w:rPr>
        <w:t>. (2016)</w:t>
      </w:r>
      <w:r w:rsidR="00C07844" w:rsidRPr="008B39E1">
        <w:rPr>
          <w:rFonts w:ascii="Times New Roman" w:hAnsi="Times New Roman" w:cs="Times New Roman"/>
          <w:sz w:val="24"/>
          <w:szCs w:val="24"/>
        </w:rPr>
        <w:fldChar w:fldCharType="end"/>
      </w:r>
      <w:r w:rsidR="00C07844" w:rsidRPr="008B39E1">
        <w:rPr>
          <w:rFonts w:ascii="Times New Roman" w:hAnsi="Times New Roman" w:cs="Times New Roman"/>
          <w:sz w:val="24"/>
          <w:szCs w:val="24"/>
        </w:rPr>
        <w:t xml:space="preserve"> finds that firms with employee-friendly policies are less likely to report internal control weaknesses, suggesting possibly that such policies encourage employee loyalty and adherence to job expectations. Neither focuses on employee experience or</w:t>
      </w:r>
      <w:r w:rsidRPr="008B39E1">
        <w:rPr>
          <w:rFonts w:ascii="Times New Roman" w:hAnsi="Times New Roman" w:cs="Times New Roman"/>
          <w:sz w:val="24"/>
          <w:szCs w:val="24"/>
        </w:rPr>
        <w:t xml:space="preserve"> stability in</w:t>
      </w:r>
      <w:r w:rsidR="00DB1273" w:rsidRPr="008B39E1">
        <w:rPr>
          <w:rFonts w:ascii="Times New Roman" w:hAnsi="Times New Roman" w:cs="Times New Roman"/>
          <w:sz w:val="24"/>
          <w:szCs w:val="24"/>
        </w:rPr>
        <w:t xml:space="preserve"> the</w:t>
      </w:r>
      <w:r w:rsidRPr="008B39E1">
        <w:rPr>
          <w:rFonts w:ascii="Times New Roman" w:hAnsi="Times New Roman" w:cs="Times New Roman"/>
          <w:sz w:val="24"/>
          <w:szCs w:val="24"/>
        </w:rPr>
        <w:t xml:space="preserve"> workforce. </w:t>
      </w:r>
    </w:p>
    <w:p w14:paraId="0B711FA5" w14:textId="6C7992AA"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Given the importance of </w:t>
      </w:r>
      <w:r w:rsidR="00F307AC" w:rsidRPr="008B39E1">
        <w:rPr>
          <w:rFonts w:ascii="Times New Roman" w:hAnsi="Times New Roman" w:cs="Times New Roman"/>
          <w:sz w:val="24"/>
          <w:szCs w:val="24"/>
        </w:rPr>
        <w:t xml:space="preserve">workforce </w:t>
      </w:r>
      <w:r w:rsidR="006071BD" w:rsidRPr="008B39E1">
        <w:rPr>
          <w:rFonts w:ascii="Times New Roman" w:hAnsi="Times New Roman" w:cs="Times New Roman"/>
          <w:sz w:val="24"/>
          <w:szCs w:val="24"/>
        </w:rPr>
        <w:t>experience</w:t>
      </w:r>
      <w:r w:rsidR="0014029B" w:rsidRPr="008B39E1">
        <w:rPr>
          <w:rFonts w:ascii="Times New Roman" w:hAnsi="Times New Roman" w:cs="Times New Roman"/>
          <w:sz w:val="24"/>
          <w:szCs w:val="24"/>
        </w:rPr>
        <w:t xml:space="preserve"> </w:t>
      </w:r>
      <w:r w:rsidRPr="008B39E1">
        <w:rPr>
          <w:rFonts w:ascii="Times New Roman" w:hAnsi="Times New Roman" w:cs="Times New Roman"/>
          <w:sz w:val="24"/>
          <w:szCs w:val="24"/>
        </w:rPr>
        <w:t xml:space="preserve">for internal control quality, relocating firms are particularly vulnerable to internal control ineffectiveness. Their employees must choose between uprooting their lives to move with the firm or </w:t>
      </w:r>
      <w:r w:rsidR="00D9740B" w:rsidRPr="008B39E1">
        <w:rPr>
          <w:rFonts w:ascii="Times New Roman" w:hAnsi="Times New Roman" w:cs="Times New Roman"/>
          <w:sz w:val="24"/>
          <w:szCs w:val="24"/>
        </w:rPr>
        <w:t>leaving</w:t>
      </w:r>
      <w:r w:rsidRPr="008B39E1">
        <w:rPr>
          <w:rFonts w:ascii="Times New Roman" w:hAnsi="Times New Roman" w:cs="Times New Roman"/>
          <w:sz w:val="24"/>
          <w:szCs w:val="24"/>
        </w:rPr>
        <w:t xml:space="preserve"> the firm and </w:t>
      </w:r>
      <w:r w:rsidR="00CC21E0" w:rsidRPr="008B39E1">
        <w:rPr>
          <w:rFonts w:ascii="Times New Roman" w:hAnsi="Times New Roman" w:cs="Times New Roman"/>
          <w:sz w:val="24"/>
          <w:szCs w:val="24"/>
        </w:rPr>
        <w:t>finding</w:t>
      </w:r>
      <w:r w:rsidRPr="008B39E1">
        <w:rPr>
          <w:rFonts w:ascii="Times New Roman" w:hAnsi="Times New Roman" w:cs="Times New Roman"/>
          <w:sz w:val="24"/>
          <w:szCs w:val="24"/>
        </w:rPr>
        <w:t xml:space="preserve"> employment elsewhere. Those who relocate with the firm must adjust to their new locations, a potentially stressful process. When employees choose not to relocate, the firm faces the consequences of losing knowledgeable and experienced employees and burdens of replacing those employees.</w:t>
      </w:r>
      <w:r w:rsidRPr="008B39E1">
        <w:rPr>
          <w:rStyle w:val="FootnoteReference"/>
          <w:rFonts w:ascii="Times New Roman" w:hAnsi="Times New Roman" w:cs="Times New Roman"/>
          <w:sz w:val="24"/>
          <w:szCs w:val="24"/>
        </w:rPr>
        <w:footnoteReference w:id="13"/>
      </w:r>
      <w:r w:rsidRPr="008B39E1">
        <w:rPr>
          <w:rFonts w:ascii="Times New Roman" w:hAnsi="Times New Roman" w:cs="Times New Roman"/>
          <w:sz w:val="24"/>
          <w:szCs w:val="24"/>
        </w:rPr>
        <w:t xml:space="preserve"> Thus, the stress of relocating, direct loss of experienced and knowledgeable employees, and indirect cost of finding replacement employees means that firm’s internal controls can suffer immediately after relocation</w:t>
      </w:r>
      <w:r w:rsidRPr="008B39E1">
        <w:rPr>
          <w:rFonts w:ascii="Times New Roman" w:hAnsi="Times New Roman" w:cs="Times New Roman"/>
          <w:sz w:val="20"/>
          <w:szCs w:val="20"/>
        </w:rPr>
        <w:t>.</w:t>
      </w:r>
      <w:r w:rsidRPr="008B39E1">
        <w:rPr>
          <w:rStyle w:val="FootnoteReference"/>
          <w:rFonts w:ascii="Times New Roman" w:hAnsi="Times New Roman" w:cs="Times New Roman"/>
          <w:sz w:val="20"/>
          <w:szCs w:val="20"/>
        </w:rPr>
        <w:footnoteReference w:id="14"/>
      </w:r>
      <w:r w:rsidRPr="008B39E1">
        <w:rPr>
          <w:rFonts w:ascii="Times New Roman" w:hAnsi="Times New Roman" w:cs="Times New Roman"/>
          <w:sz w:val="24"/>
          <w:szCs w:val="24"/>
        </w:rPr>
        <w:t xml:space="preserve"> </w:t>
      </w:r>
    </w:p>
    <w:p w14:paraId="0DD7A4F5" w14:textId="59607EE1"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lastRenderedPageBreak/>
        <w:t xml:space="preserve">However, </w:t>
      </w:r>
      <w:r w:rsidR="00360B26" w:rsidRPr="008B39E1">
        <w:rPr>
          <w:rFonts w:ascii="Times New Roman" w:hAnsi="Times New Roman" w:cs="Times New Roman"/>
          <w:sz w:val="24"/>
          <w:szCs w:val="24"/>
        </w:rPr>
        <w:t>this may not always be the case. H</w:t>
      </w:r>
      <w:r w:rsidRPr="008B39E1">
        <w:rPr>
          <w:rFonts w:ascii="Times New Roman" w:hAnsi="Times New Roman" w:cs="Times New Roman"/>
          <w:sz w:val="24"/>
          <w:szCs w:val="24"/>
        </w:rPr>
        <w:t>eadquarters relocation is a major firm event that requires careful planning over time. Part of the planning involves establishing a transition plan that minimizes disruptions. The transition plan accounts for how many employees are likely to relocate and resign. These factors suggest that with properly designed and executed internal controls and relocation plans, relocating firms may not experience a noticeable change in internal control quality. Thus</w:t>
      </w:r>
      <w:r w:rsidR="00B34C08" w:rsidRPr="008B39E1">
        <w:rPr>
          <w:rFonts w:ascii="Times New Roman" w:hAnsi="Times New Roman" w:cs="Times New Roman"/>
          <w:sz w:val="24"/>
          <w:szCs w:val="24"/>
        </w:rPr>
        <w:t>,</w:t>
      </w:r>
      <w:r w:rsidRPr="008B39E1">
        <w:rPr>
          <w:rFonts w:ascii="Times New Roman" w:hAnsi="Times New Roman" w:cs="Times New Roman"/>
          <w:sz w:val="24"/>
          <w:szCs w:val="24"/>
        </w:rPr>
        <w:t xml:space="preserve"> the association between relocations and </w:t>
      </w:r>
      <w:r w:rsidR="00B34C08" w:rsidRPr="008B39E1">
        <w:rPr>
          <w:rFonts w:ascii="Times New Roman" w:hAnsi="Times New Roman" w:cs="Times New Roman"/>
          <w:sz w:val="24"/>
          <w:szCs w:val="24"/>
        </w:rPr>
        <w:t>subsequent</w:t>
      </w:r>
      <w:r w:rsidRPr="008B39E1">
        <w:rPr>
          <w:rFonts w:ascii="Times New Roman" w:hAnsi="Times New Roman" w:cs="Times New Roman"/>
          <w:sz w:val="24"/>
          <w:szCs w:val="24"/>
        </w:rPr>
        <w:t xml:space="preserve"> change in ineffectiveness of internal control is an empirical question.</w:t>
      </w:r>
    </w:p>
    <w:p w14:paraId="24DFFE55" w14:textId="36379B0F" w:rsidR="00385A6D" w:rsidRPr="008B39E1" w:rsidRDefault="00385A6D" w:rsidP="00981B19">
      <w:pPr>
        <w:spacing w:after="0" w:line="48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RQ2: Relocation, </w:t>
      </w:r>
      <w:r w:rsidR="00360B26" w:rsidRPr="008B39E1">
        <w:rPr>
          <w:rFonts w:ascii="Times New Roman" w:hAnsi="Times New Roman" w:cs="Times New Roman"/>
          <w:b/>
          <w:bCs/>
          <w:sz w:val="24"/>
          <w:szCs w:val="24"/>
        </w:rPr>
        <w:t xml:space="preserve">Change </w:t>
      </w:r>
      <w:r w:rsidRPr="008B39E1">
        <w:rPr>
          <w:rFonts w:ascii="Times New Roman" w:hAnsi="Times New Roman" w:cs="Times New Roman"/>
          <w:b/>
          <w:bCs/>
          <w:sz w:val="24"/>
          <w:szCs w:val="24"/>
        </w:rPr>
        <w:t xml:space="preserve">in </w:t>
      </w:r>
      <w:r w:rsidR="00360B26" w:rsidRPr="008B39E1">
        <w:rPr>
          <w:rFonts w:ascii="Times New Roman" w:hAnsi="Times New Roman" w:cs="Times New Roman"/>
          <w:b/>
          <w:bCs/>
          <w:sz w:val="24"/>
          <w:szCs w:val="24"/>
        </w:rPr>
        <w:t>Social Capital</w:t>
      </w:r>
      <w:r w:rsidRPr="008B39E1">
        <w:rPr>
          <w:rFonts w:ascii="Times New Roman" w:hAnsi="Times New Roman" w:cs="Times New Roman"/>
          <w:b/>
          <w:bCs/>
          <w:sz w:val="24"/>
          <w:szCs w:val="24"/>
        </w:rPr>
        <w:t xml:space="preserve">, and Internal </w:t>
      </w:r>
      <w:r w:rsidR="00360B26" w:rsidRPr="008B39E1">
        <w:rPr>
          <w:rFonts w:ascii="Times New Roman" w:hAnsi="Times New Roman" w:cs="Times New Roman"/>
          <w:b/>
          <w:bCs/>
          <w:sz w:val="24"/>
          <w:szCs w:val="24"/>
        </w:rPr>
        <w:t>Control Quality</w:t>
      </w:r>
    </w:p>
    <w:p w14:paraId="402CC69D" w14:textId="6C800196"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Survey studies from economics and sociology document that employees’ decisions to relocate with the firm depends on psychosocial characteristics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{"citationItems":[{"id":"ITEM-1","itemData":{"DOI":"10.1016/j.jtrangeo.2019.102483","ISSN":"09666923","abstract":"In an increasingly globalised economic system, company relocations are common and occur at different scales, ranging from international moves to relocations within a relatively small geographical area such as a city. Regarding changes in commuting following relocation, transport studies have already provided valuable insights into changing trip characteristics such as mode choice and duration of the journey. However, wider impacts of relocations on mobility practices such as shifts in trip chaining, changes in employees' social practices and networks, their satisfaction with the new commute as well as adaptation strategies (e.g. residential relocation and increased car ownership) remain under-researched, especially whenever these changes are mainly local in scale and impact everyday life. Building on and extending previous research on relocations, we explicitly adopt a mobility biographies perspective that reconceptualises workplace relocation as an incisive life event that reshapes employee's mobility practices in complex ways. We use quasi-longitudinal survey data based on retro-spection to reveal major mobility-related consequences of a company's decision to move their production facilities within the German city of Munich. This paper aptly demonstrates how even a short-distance, intra-city company relocation can disrupt em-ployees' daily routines and reshape their own and other people's mobility. It provides novel insights into changes in satisfaction with the commute itself as well as with reduced opportunities for trip chaining. Regarding adaptation to workplace relocation, moving house or buying a (second) car emerged as important responses. Furthermore, it was possible to demonstrate the wider effects of relocation on employees' social environment such as weakened social ties among workers due to reduced opportunities for after-work activities and negative post-relocation impacts on neighbourhoods and small businesses in the old company location. Many respondents viewed these changes as undesirable reductions in quality of life. The concluding part of the paper outlines some opportunities for future social research in this area.","author":[{"dropping-particle":"","family":"Rau","given":"Henrike","non-dropping-particle":"","parse-names":false,"suffix":""},{"dropping-particle":"","family":"Popp","given":"Monika","non-dropping-particle":"","parse-names":false,"suffix":""},{"dropping-particle":"","family":"Namberger","given":"Philipp","non-dropping-particle":"","parse-names":false,"suffix":""},{"dropping-particle":"","family":"Mögele","given":"Michael","non-dropping-particle":"","parse-names":false,"suffix":""}],"container-title":"Journal of Transport Geography","id":"ITEM-1","issued":{"date-parts":[["2019","7"]]},"page":"102483","title":"Short Distance, Big Impact: The Effects of Intra-City Workplace Relocation on Staff Mobility Practices","type":"article-journal","volume":"79"},"uris":["http://www.mendeley.com/documents/?uuid=a224e911-75eb-3879-8dde-9452762e6d00"]},{"id":"ITEM-2","itemData":{"DOI":"10.1177/0885412218802467","ISSN":"15526593","abstract":"Daily home–work travel is a habitual behavior that can be disrupted when the location of work, as one of the behavioral contexts, changes. It is then likely that individuals will reconsider their travel behavior more intentionally and choose alternative transport modes. To identify motivations and barriers to incorporating the use of sustainable modes into the individual’s daily travel, this article systematically reviews the literature on the impacts of involuntary workplace relocation on commuting behavior. Effective measures that incentivize sustainable commuting behavior are also discussed. This study on involuntary workplace relocation informs considerations of changes in travel behavior related to other contextual changes.","author":[{"dropping-particle":"","family":"Zarabi","given":"Z.","non-dropping-particle":"","parse-names":false,"suffix":""},{"dropping-particle":"","family":"Lord","given":"S.","non-dropping-particle":"","parse-names":false,"suffix":""}],"container-title":"Journal of Planning Literature","id":"ITEM-2","issue":"1","issued":{"date-parts":[["2019"]]},"page":"38-58","title":"Toward More Sustainable Behavior: A Systematic Review of the Impacts of Involuntary Workplace Relocation on Travel Mode Choice","type":"article-journal","volume":"34"},"uris":["http://www.mendeley.com/documents/?uuid=25bde077-8838-45c6-80dd-d72ec30468a6"]},{"id":"ITEM-3","itemData":{"DOI":"10.3390/su12187506","ISSN":"2071-1050","abstract":"Workplace relocation can have a significant impact on commuting trips as well as on the location and number of activities scheduled within the home-work tour. This often exogenous, non-voluntary event affects the entire activity-travel behavior of the employees. As response, employees can adopt several short- and long-term adaptation strategies to cope with such change, the most obvious being commuting mode shifting, acquire new mobility resources (e.g., buying a car) or changing residential location. As workplace relocation can be consequence of national policies aimed at decongesting the city centers or to favor the development of new business areas, undesired macroscopic changes in modal shares and in land developments may be observed. While a decrease in the commuting time after a workplace relocation is, in some cases, observed, an increase in car use for the commuting trip may be observed as well. This paper aims at providing an in-depth understanding of the effect of workplace relocation on travel behavior by reviewing and selecting the relevant scientific literature on the topic, which has in the last years gained popularity. The findings and observations summarized by the literature review are then complemented with the specific example of the relocation of the University of Luxembourg employees. Finally, we indicate potential directions for research, which are currently underexplored.","author":[{"dropping-particle":"","family":"Sprumont","given":"François","non-dropping-particle":"","parse-names":false,"suffix":""},{"dropping-particle":"","family":"Benam","given":"Ali Shateri","non-dropping-particle":"","parse-names":false,"suffix":""},{"dropping-particle":"","family":"Viti","given":"Francesco","non-dropping-particle":"","parse-names":false,"suffix":""}],"container-title":"Sustainability","id":"ITEM-3","issue":"18","issued":{"date-parts":[["2020","9","11"]]},"page":"7506","title":"Short- and Long-Term Impacts of Workplace Relocation: A Survey and Experience from the University of Luxembourg Relocation","type":"article-journal","volume":"12"},"uris":["http://www.mendeley.com/documents/?uuid=b8e5517a-6676-35a5-b511-2c89cbdc5330"]}],"mendeley":{"formattedCitation":"(Rau et al. 2019; Zarabi and Lord 2019; Sprumont et al. 2020)","plainTextFormattedCitation":"(Rau et al. 2019; Zarabi and Lord 2019; Sprumont et al. 2020)","previouslyFormattedCitation":"(Rau et al. 2019; Zarabi and Lord 2019; Sprumont et al. 2020)"},"properties":{"noteIndex":0},"schema":"https://github.com/citation-style-language/schema/raw/master/csl-citation.json"}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 xml:space="preserve">(Rau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2019; Zarabi and Lord</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2019; Sprumont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2020)</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Psychosocial characteristics are community-level behavioral and social norms, values, and attitudes that attach and guide the behaviors and beliefs of the individuals and businesses of that community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{"citationItems":[{"id":"ITEM-1","itemData":{"DOI":"10.1177/0885412218802467","ISSN":"15526593","abstract":"Daily home–work travel is a habitual behavior that can be disrupted when the location of work, as one of the behavioral contexts, changes. It is then likely that individuals will reconsider their travel behavior more intentionally and choose alternative transport modes. To identify motivations and barriers to incorporating the use of sustainable modes into the individual’s daily travel, this article systematically reviews the literature on the impacts of involuntary workplace relocation on commuting behavior. Effective measures that incentivize sustainable commuting behavior are also discussed. This study on involuntary workplace relocation informs considerations of changes in travel behavior related to other contextual changes.","author":[{"dropping-particle":"","family":"Zarabi","given":"Z.","non-dropping-particle":"","parse-names":false,"suffix":""},{"dropping-particle":"","family":"Lord","given":"S.","non-dropping-particle":"","parse-names":false,"suffix":""}],"container-title":"Journal of Planning Literature","id":"ITEM-1","issue":"1","issued":{"date-parts":[["2019"]]},"page":"38-58","title":"Toward More Sustainable Behavior: A Systematic Review of the Impacts of Involuntary Workplace Relocation on Travel Mode Choice","type":"article-journal","volume":"34"},"uris":["http://www.mendeley.com/documents/?uuid=25bde077-8838-45c6-80dd-d72ec30468a6"]},{"id":"ITEM-2","itemData":{"DOI":"10.3390/su12187506","ISSN":"2071-1050","abstract":"Workplace relocation can have a significant impact on commuting trips as well as on the location and number of activities scheduled within the home-work tour. This often exogenous, non-voluntary event affects the entire activity-travel behavior of the employees. As response, employees can adopt several short- and long-term adaptation strategies to cope with such change, the most obvious being commuting mode shifting, acquire new mobility resources (e.g., buying a car) or changing residential location. As workplace relocation can be consequence of national policies aimed at decongesting the city centers or to favor the development of new business areas, undesired macroscopic changes in modal shares and in land developments may be observed. While a decrease in the commuting time after a workplace relocation is, in some cases, observed, an increase in car use for the commuting trip may be observed as well. This paper aims at providing an in-depth understanding of the effect of workplace relocation on travel behavior by reviewing and selecting the relevant scientific literature on the topic, which has in the last years gained popularity. The findings and observations summarized by the literature review are then complemented with the specific example of the relocation of the University of Luxembourg employees. Finally, we indicate potential directions for research, which are currently underexplored.","author":[{"dropping-particle":"","family":"Sprumont","given":"François","non-dropping-particle":"","parse-names":false,"suffix":""},{"dropping-particle":"","family":"Benam","given":"Ali Shateri","non-dropping-particle":"","parse-names":false,"suffix":""},{"dropping-particle":"","family":"Viti","given":"Francesco","non-dropping-particle":"","parse-names":false,"suffix":""}],"container-title":"Sustainability","id":"ITEM-2","issue":"18","issued":{"date-parts":[["2020","9","11"]]},"page":"7506","title":"Short- and Long-Term Impacts of Workplace Relocation: A Survey and Experience from the University of Luxembourg Relocation","type":"article-journal","volume":"12"},"uris":["http://www.mendeley.com/documents/?uuid=b8e5517a-6676-35a5-b511-2c89cbdc5330"]}],"mendeley":{"formattedCitation":"(Zarabi and Lord 2019; Sprumont et al. 2020)","plainTextFormattedCitation":"(Zarabi and Lord 2019; Sprumont et al. 2020)","previouslyFormattedCitation":"(Zarabi and Lord 2019; Sprumont et al. 2020)"},"properties":{"noteIndex":0},"schema":"https://github.com/citation-style-language/schema/raw/master/csl-citation.json"}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(Zarabi and Lord</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2019; Sprumont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2020)</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The more employees are attached to the current community and the more dissimilar the new community is to the current community, the less willing they are to relocate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{"citationItems":[{"id":"ITEM-1","itemData":{"DOI":"10.1002/job.4030140206","ISSN":"10991379","abstract":"Previous research on employee willingness to accept mobility opportunities involving geographic relocation has generally not specified characteristics of potential destination communities. However, studies of employee adjustment following relocation suggest that community characteristics are critical to employee satisfaction. In order to better understand the factors that influence employees' acceptance of mobility opportunities, we investigated differences in both levels and antecedents of willingness to accept mobility opportunities involving relocation between similar communities and relocation between dissimilar communities. Results suggest that employees were particularly reluctant to accept moves between dissimilar communities, and that the role of career factors, community attachment, and location preferences as antecedents varied depending on the specific nature of the mobility opportunity. Implications for research and practice are discussed. Copyright © 1993 John Wiley &amp; Sons, Ltd.","author":[{"dropping-particle":"","family":"Noe","given":"Raymond A.","non-dropping-particle":"","parse-names":false,"suffix":""},{"dropping-particle":"","family":"Barber","given":"Alison E.","non-dropping-particle":"","parse-names":false,"suffix":""}],"container-title":"Journal of Organizational Behavior","id":"ITEM-1","issue":"2","issued":{"date-parts":[["1993"]]},"page":"159-175","title":"Willingness to accept mobility opportunities: Destination makes a difference","type":"article-journal","volume":"14"},"uris":["http://www.mendeley.com/documents/?uuid=62f7bbb0-2d59-4a57-9152-52e43b4dc016"]},{"id":"ITEM-2","itemData":{"DOI":"10.1002/(SICI)1099-1379(199805)19:3&lt;275::AID-JOB840&gt;3.0.CO;2-S","ISSN":"08943796","abstract":"This research examines the willingness of employees to follow their organization when the entire business unit is geographically relocating. The site for the study was a large government defense agency moving from a major U.S. northeastern metropolitan area to a rural area south of Washington, D.C. The study participants were 380 employees who were deciding within the next 6 months if they would relocate, too. Attachment to the present community, attachment to the current organization, and availability of job market alternatives are the factors most significantly associated with willingness to move during corporate relocation. © 1998 John Wiley &amp; Sons, Ltd.","author":[{"dropping-particle":"","family":"Feldman","given":"Daniel C.","non-dropping-particle":"","parse-names":false,"suffix":""},{"dropping-particle":"","family":"Bolino","given":"Mark C.","non-dropping-particle":"","parse-names":false,"suffix":""}],"container-title":"Journal of Organizational Behavior","id":"ITEM-2","issue":"3","issued":{"date-parts":[["1998"]]},"page":"275-288","title":"Moving on out: When are employees willing to follow their organization during corporate relocation?","type":"article-journal","volume":"19"},"uris":["http://www.mendeley.com/documents/?uuid=9b58fb4a-71af-46f0-b7ce-182471366be1"]}],"mendeley":{"formattedCitation":"(Noe and Barber 1993; Feldman and Bolino 1998)","plainTextFormattedCitation":"(Noe and Barber 1993; Feldman and Bolino 1998)","previouslyFormattedCitation":"(Noe and Barber 1993; Feldman and Bolino 1998)"},"properties":{"noteIndex":0},"schema":"https://github.com/citation-style-language/schema/raw/master/csl-citation.json"}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(Noe and Barber</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1993; Feldman and Bolino</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1998)</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For those employees that choose to relocate, the emotional toll of relocating is a source of stress that can negatively affect work performance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{"citationItems":[{"id":"ITEM-1","itemData":{"DOI":"10.1108/EUM0000000000783","ISSN":"00483486","author":[{"dropping-particle":"","family":"Forster","given":"N. S.","non-dropping-particle":"","parse-names":false,"suffix":""}],"container-title":"Personnel Review","id":"ITEM-1","issue":"6","issued":{"date-parts":[["1990"]]},"page":"18-24","title":"Employee Job Mobility and Relocation","type":"article-journal","volume":"19"},"uris":["http://www.mendeley.com/documents/?uuid=cef9eab4-a104-4cb6-b8ca-fdb0c584edbd"]},{"id":"ITEM-2","itemData":{"URL":"https://www.whrg.com/blog/the-emotional-toll-of-employee-relocation/","author":[{"dropping-particle":"","family":"Stroiman","given":"Mindy","non-dropping-particle":"","parse-names":false,"suffix":""}],"container-title":"WHR Global Employee Relocation","id":"ITEM-2","issued":{"date-parts":[["2021"]]},"title":"The Emotional Toll of Employee Relocation","type":"webpage"},"uris":["http://www.mendeley.com/documents/?uuid=4e2b2da7-5985-4249-ac3a-e31edaa51015"]}],"mendeley":{"formattedCitation":"(Forster 1990; Stroiman 2021)","plainTextFormattedCitation":"(Forster 1990; Stroiman 2021)","previouslyFormattedCitation":"(Forster 1990; Stroiman 2021)"},"properties":{"noteIndex":0},"schema":"https://github.com/citation-style-language/schema/raw/master/csl-citation.json"}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(Forster</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1990; Stroiman</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2021)</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Thus, the extent of change in psychosocial characteristics stemming from relocation can reflect the extent of employee disruption. </w:t>
      </w:r>
    </w:p>
    <w:p w14:paraId="10CC56AC" w14:textId="2718C374"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An empirical proxy for psychosocial characteristics is the social capital of the community in which the firm and its employees reside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{"citationItems":[{"id":"ITEM-1","itemData":{"DOI":"10.1353/jod.1995.0002","ISSN":"1086-3214","author":[{"dropping-particle":"","family":"Putnam","given":"Robert D.","non-dropping-particle":"","parse-names":false,"suffix":""}],"container-title":"Journal of Democracy","id":"ITEM-1","issue":"1","issued":{"date-parts":[["1995"]]},"page":"65-78","title":"Bowling Alone: America's Declining Social Capital","type":"article-journal","volume":"6"},"uris":["http://www.mendeley.com/documents/?uuid=24dd7e0d-b8da-41e9-af9b-94f5bf1608e3"]},{"id":"ITEM-2","itemData":{"author":[{"dropping-particle":"","family":"Putnam","given":"Robert D.","non-dropping-particle":"","parse-names":false,"suffix":""}],"id":"ITEM-2","issued":{"date-parts":[["2001"]]},"publisher":"Simon &amp; Schuster","publisher-place":"New York, NY","title":"Bowling Alone: Revisted and Updated: The Collapse and Revival of American Community","type":"book"},"uris":["http://www.mendeley.com/documents/?uuid=f1b27ec9-5474-43b6-8c88-d9b63017d76a"]},{"id":"ITEM-3","itemData":{"DOI":"10.5465/AMR.2002.5922314","ISSN":"03637425","abstract":"A growing number of sociologists, political scientists, economists, and organizational theorists have invoked the concept of social capital in the search for answers to a broadening range of questions being confronted in their own fields. Seeking to clarify the concept and help assess its utility for organizational theory, we synthesize the theoretical research undertaken in these various disciplines and develop a common conceptual framework that identifies the sources, benefits, risks, and contingencies of social capital.","author":[{"dropping-particle":"","family":"Adler","given":"Paul S.","non-dropping-particle":"","parse-names":false,"suffix":""},{"dropping-particle":"","family":"Kwon","given":"Seok Woo","non-dropping-particle":"","parse-names":false,"suffix":""}],"container-title":"Academy of Management Review","id":"ITEM-3","issue":"1","issued":{"date-parts":[["2002"]]},"page":"17-40","title":"Social Capital: Prospects for a New Concept","type":"article-journal","volume":"27"},"uris":["http://www.mendeley.com/documents/?uuid=07716c4a-65ba-4515-b4dc-000e28c9598b"]}],"mendeley":{"formattedCitation":"(Putnam 1995; Putnam 2001; Adler and Kwon 2002)","plainTextFormattedCitation":"(Putnam 1995; Putnam 2001; Adler and Kwon 2002)","previouslyFormattedCitation":"(Putnam 1995; Putnam 2001; Adler and Kwon 2002)"},"properties":{"noteIndex":0},"schema":"https://github.com/citation-style-language/schema/raw/master/csl-citation.json"}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(Putnam</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1995; Putnam</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2001; Adler and Kwon</w:t>
      </w:r>
      <w:r w:rsidR="009363C3"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2002)</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There are numerous definitions of social capital. In essence, social capital measures </w:t>
      </w:r>
      <w:r w:rsidRPr="008B39E1">
        <w:rPr>
          <w:rFonts w:ascii="Times New Roman" w:hAnsi="Times New Roman" w:cs="Times New Roman"/>
          <w:sz w:val="24"/>
          <w:szCs w:val="24"/>
        </w:rPr>
        <w:lastRenderedPageBreak/>
        <w:t xml:space="preserve">community-level behavioral norms, values, and attitudes that affect and guide the behaviors and beliefs of the individuals and businesses of that community, as well as attachment to the community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{"citationItems":[{"id":"ITEM-1","itemData":{"DOI":"10.1016/j.socec.2005.11.001","ISSN":"10535357","abstract":"A growing belief exists that social capital contributes to economic growth of communities. In this paper, we identify inputs into the production of social capital at the level of US counties, using an array of individual and community factors that are theoretically important determinants of social capital. We use data from the Bureau of the Census, County Business Patterns, USA Counties on CD, National Center for Charitable Statistics, and the Regional Economic Information System for two time periods. Ethnic homogeneity, income inequality, attachment to place, education, age, and female labor force participation are strongly associated with levels of social capital across US counties. © 2005 Elsevier Inc. All rights reserved.","author":[{"dropping-particle":"","family":"Rupasingha","given":"Anil","non-dropping-particle":"","parse-names":false,"suffix":""},{"dropping-particle":"","family":"Goetz","given":"Stephan J.","non-dropping-particle":"","parse-names":false,"suffix":""},{"dropping-particle":"","family":"Freshwater","given":"David","non-dropping-particle":"","parse-names":false,"suffix":""}],"container-title":"Journal of Socio-Economics","id":"ITEM-1","issue":"1","issued":{"date-parts":[["2006"]]},"page":"83-101","title":"The production of social capital in US counties","type":"article-journal","volume":"35"},"uris":["http://www.mendeley.com/documents/?uuid=44091493-6467-4571-a7a1-d98ed838110a"]}],"mendeley":{"formattedCitation":"(Rupasingha et al. 2006)","manualFormatting":"(Rupasingha et al.2006)","plainTextFormattedCitation":"(Rupasingha et al. 2006)","previouslyFormattedCitation":"(Rupasingha et al. 2006)"},"properties":{"noteIndex":0},"schema":"https://github.com/citation-style-language/schema/raw/master/csl-citation.json"}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 xml:space="preserve">(Rupasingha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w:t>
      </w:r>
      <w:r w:rsidR="009363C3" w:rsidRPr="008B39E1">
        <w:rPr>
          <w:rFonts w:ascii="Times New Roman" w:hAnsi="Times New Roman" w:cs="Times New Roman"/>
          <w:noProof/>
          <w:sz w:val="24"/>
          <w:szCs w:val="24"/>
        </w:rPr>
        <w:t xml:space="preserve">, </w:t>
      </w:r>
      <w:r w:rsidRPr="008B39E1">
        <w:rPr>
          <w:rFonts w:ascii="Times New Roman" w:hAnsi="Times New Roman" w:cs="Times New Roman"/>
          <w:noProof/>
          <w:sz w:val="24"/>
          <w:szCs w:val="24"/>
        </w:rPr>
        <w:t>2006)</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When a firm relocates, it can experience a change in local social capital as it moves from one county to another. In a case study,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{"citationItems":[{"id":"ITEM-1","itemData":{"DOI":"10.1016/j.aos.2010.09.006","ISSN":"03613682","abstract":"In this paper we use the concept of social capital to outline a distinctive approach to understanding the interplay between management control systems and the development of social connections in and between organisations. Social capital provides a comprehensive framework for examining the nature of social connections through its focus on both structural networks (bridging) and interpersonal relationships that predispose individuals towards mutually beneficial collective action (bonding). In doing so, social capital provides a means of considering how individuals react to management control systems in terms of the social ties that exist both within the organization and external to the organization. Using a case study of a non-government organization, we show how social capital is implicated in efforts to attract economic capital and cultural capital. We demonstrate how elements of a management control system can either enhance or inhibit the bonding and bridging dimensions of social capital with potential consequences on both economic and cultural capital. We highlight the mixed and sometimes contradictory effects of management control systems on social capital, and provide a powerful illustration of the role of management control systems in brokering alliances and bridging structural holes. © 2010 Elsevier Ltd.","author":[{"dropping-particle":"","family":"Chenhall","given":"Robert H.","non-dropping-particle":"","parse-names":false,"suffix":""},{"dropping-particle":"","family":"Hall","given":"Matthew","non-dropping-particle":"","parse-names":false,"suffix":""},{"dropping-particle":"","family":"Smith","given":"David","non-dropping-particle":"","parse-names":false,"suffix":""}],"container-title":"Accounting, Organizations and Society","id":"ITEM-1","issue":"8","issued":{"date-parts":[["2010"]]},"page":"737-756","publisher":"Elsevier Ltd","title":"Social Capital and Management Control Systems: A Study of a Non-Government Organization","type":"article-journal","volume":"35"},"uris":["http://www.mendeley.com/documents/?uuid=c8e6eb45-b6ad-477a-bc86-85dfebb75f4a"]}],"mendeley":{"formattedCitation":"(Chenhall et al. 2010)","manualFormatting":"Chenhall, Hall, and Smith (2010)","plainTextFormattedCitation":"(Chenhall et al. 2010)","previouslyFormattedCitation":"(Chenhall et al. 2010)"},"properties":{"noteIndex":0},"schema":"https://github.com/citation-style-language/schema/raw/master/csl-citation.json"}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Chenhall, Hall, and Smith (2010)</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demonstrate that social capital can be a lens for examining how employees react to management control systems. At a higher societal level,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{"citationItems":[{"id":"ITEM-1","itemData":{"DOI":"10.1016/j.aos.2020.101116","ISSN":"03613682","abstract":"This study examines the influence of cultural regions on the interdependence between delegation of authority and other management control (MC) practices. In particular, we assess whether one of the central contentions of agency theory, that incentive contracting and delegation are jointly determined, holds in different cultural regions. Drawing on prior literature, we hypothesise that the MC practices that operate as a complement to delegation vary depending on societal values and preferences, and that MC practices other than incentive contracting will complement delegation in firms in non-Anglo cultural regions. Using data collected from 584 strategic business units across three Western cultural regions (Anglo, Germanic, Nordic), our results show that the interdependence between delegation and incentive contracting is confined to Anglo firms. In the Nordic and Germanic regions, we find that strategic and action planning participation operate as a complement to delegation, while delegation is also complemented by manager selection in Nordic firms. Overall, our study demonstrates that cultural values and preferences significantly influence MC interdependence, and suggests that caution needs to be taken in making cross-cultural generalisations about the complementarity of MC practices.","author":[{"dropping-particle":"","family":"Malmi","given":"Teemu","non-dropping-particle":"","parse-names":false,"suffix":""},{"dropping-particle":"","family":"Bedford","given":"David S.","non-dropping-particle":"","parse-names":false,"suffix":""},{"dropping-particle":"","family":"Brühl","given":"Rolf","non-dropping-particle":"","parse-names":false,"suffix":""},{"dropping-particle":"","family":"Dergård","given":"Johan","non-dropping-particle":"","parse-names":false,"suffix":""},{"dropping-particle":"","family":"Hoozée","given":"Sophie","non-dropping-particle":"","parse-names":false,"suffix":""},{"dropping-particle":"","family":"Janschek","given":"Otto","non-dropping-particle":"","parse-names":false,"suffix":""},{"dropping-particle":"","family":"Willert","given":"Jeanette","non-dropping-particle":"","parse-names":false,"suffix":""},{"dropping-particle":"","family":"Ax","given":"Christian","non-dropping-particle":"","parse-names":false,"suffix":""},{"dropping-particle":"","family":"Bednarek","given":"Piotr","non-dropping-particle":"","parse-names":false,"suffix":""},{"dropping-particle":"","family":"Gosselin","given":"Maurice","non-dropping-particle":"","parse-names":false,"suffix":""},{"dropping-particle":"","family":"Hanzlick","given":"Michael","non-dropping-particle":"","parse-names":false,"suffix":""},{"dropping-particle":"","family":"Israelsen","given":"Poul","non-dropping-particle":"","parse-names":false,"suffix":""},{"dropping-particle":"","family":"Johanson","given":"Daniel","non-dropping-particle":"","parse-names":false,"suffix":""},{"dropping-particle":"","family":"Johanson","given":"Tobias","non-dropping-particle":"","parse-names":false,"suffix":""},{"dropping-particle":"","family":"Madsen","given":"Dag Øivind","non-dropping-particle":"","parse-names":false,"suffix":""},{"dropping-particle":"","family":"Rohde","given":"Carsten","non-dropping-particle":"","parse-names":false,"suffix":""},{"dropping-particle":"","family":"Sandelin","given":"Mikko","non-dropping-particle":"","parse-names":false,"suffix":""},{"dropping-particle":"","family":"Strömsten","given":"Torkel","non-dropping-particle":"","parse-names":false,"suffix":""},{"dropping-particle":"","family":"Toldbod","given":"Thomas","non-dropping-particle":"","parse-names":false,"suffix":""}],"container-title":"Accounting, Organizations and Society","id":"ITEM-1","issued":{"date-parts":[["2020","10"]]},"page":"101116","title":"Culture and Management Control Interdependence: An Analysis of Control Choices that Complement the Delegation of Authority in Western Cultural Regions","type":"article-journal","volume":"86"},"uris":["http://www.mendeley.com/documents/?uuid=eb463fc3-0553-401a-bbf6-60fe50ff3012"]}],"mendeley":{"formattedCitation":"(Malmi et al. 2020)","manualFormatting":"Malmi et al. (2020)","plainTextFormattedCitation":"(Malmi et al. 2020)","previouslyFormattedCitation":"(Malmi et al. 2020)"},"properties":{"noteIndex":0},"schema":"https://github.com/citation-style-language/schema/raw/master/csl-citation.json"}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 xml:space="preserve">Malmi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 (2020)</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finds interdependence between societal values and norms and management controls. These studies highlight the importance of social capital to employees and firm operations.</w:t>
      </w:r>
      <w:r w:rsidRPr="008B39E1">
        <w:rPr>
          <w:rStyle w:val="FootnoteReference"/>
          <w:rFonts w:ascii="Times New Roman" w:hAnsi="Times New Roman" w:cs="Times New Roman"/>
          <w:sz w:val="24"/>
          <w:szCs w:val="24"/>
        </w:rPr>
        <w:footnoteReference w:id="15"/>
      </w:r>
    </w:p>
    <w:p w14:paraId="0A25AB9A" w14:textId="3C8599C2"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While we cannot observe how firms and their employees perceive social capital changes, to the extent that </w:t>
      </w:r>
      <w:r w:rsidR="0082125C" w:rsidRPr="008B39E1">
        <w:rPr>
          <w:rFonts w:ascii="Times New Roman" w:hAnsi="Times New Roman" w:cs="Times New Roman"/>
          <w:sz w:val="24"/>
          <w:szCs w:val="24"/>
        </w:rPr>
        <w:t>their</w:t>
      </w:r>
      <w:r w:rsidRPr="008B39E1">
        <w:rPr>
          <w:rFonts w:ascii="Times New Roman" w:hAnsi="Times New Roman" w:cs="Times New Roman"/>
          <w:sz w:val="24"/>
          <w:szCs w:val="24"/>
        </w:rPr>
        <w:t xml:space="preserve"> employees are comfortable with the social capital at the initial location, we expect that a change in social capital would be viewed by them as undesirable. An individual employee’s moving decision will depend on </w:t>
      </w:r>
      <w:proofErr w:type="gramStart"/>
      <w:r w:rsidRPr="008B39E1">
        <w:rPr>
          <w:rFonts w:ascii="Times New Roman" w:hAnsi="Times New Roman" w:cs="Times New Roman"/>
          <w:sz w:val="24"/>
          <w:szCs w:val="24"/>
        </w:rPr>
        <w:t>weighing</w:t>
      </w:r>
      <w:proofErr w:type="gramEnd"/>
      <w:r w:rsidRPr="008B39E1">
        <w:rPr>
          <w:rFonts w:ascii="Times New Roman" w:hAnsi="Times New Roman" w:cs="Times New Roman"/>
          <w:sz w:val="24"/>
          <w:szCs w:val="24"/>
        </w:rPr>
        <w:t xml:space="preserve"> this undesirable change against possible benefits from the change in location. We conjecture that, other things equal, more employees are willing to relocate when the current and new communities are similar in social capital levels and less willing to relocate when the opposite is true. Thus, a firm will experience greater disruption if it relocates to a socially very different </w:t>
      </w:r>
      <w:proofErr w:type="gramStart"/>
      <w:r w:rsidRPr="008B39E1">
        <w:rPr>
          <w:rFonts w:ascii="Times New Roman" w:hAnsi="Times New Roman" w:cs="Times New Roman"/>
          <w:sz w:val="24"/>
          <w:szCs w:val="24"/>
        </w:rPr>
        <w:t>county</w:t>
      </w:r>
      <w:proofErr w:type="gramEnd"/>
      <w:r w:rsidRPr="008B39E1">
        <w:rPr>
          <w:rFonts w:ascii="Times New Roman" w:hAnsi="Times New Roman" w:cs="Times New Roman"/>
          <w:sz w:val="24"/>
          <w:szCs w:val="24"/>
        </w:rPr>
        <w:t xml:space="preserve">. Further, in the event of a relocation, employees that choose to relocate will need to break their existing community attachments and form new attachments in the new community, requiring a potentially disruptive and stressful adjustment process to themselves and their families. When multiple individuals, such as in the case of firm relocation, experience this disruption concurrently, the disruption can percolate to the firm and negatively affect operations. </w:t>
      </w:r>
    </w:p>
    <w:p w14:paraId="6234DF60" w14:textId="694B6E24" w:rsidR="00385A6D"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lastRenderedPageBreak/>
        <w:t xml:space="preserve">In sum, we expect the extent of employee disruption resulting from relocation to be greater the higher the </w:t>
      </w:r>
      <w:r w:rsidRPr="008B39E1">
        <w:rPr>
          <w:rFonts w:ascii="Times New Roman" w:hAnsi="Times New Roman" w:cs="Times New Roman"/>
          <w:i/>
          <w:iCs/>
          <w:sz w:val="24"/>
          <w:szCs w:val="24"/>
        </w:rPr>
        <w:t>absolute</w:t>
      </w:r>
      <w:r w:rsidRPr="008B39E1">
        <w:rPr>
          <w:rFonts w:ascii="Times New Roman" w:hAnsi="Times New Roman" w:cs="Times New Roman"/>
          <w:sz w:val="24"/>
          <w:szCs w:val="24"/>
        </w:rPr>
        <w:t xml:space="preserve"> difference in social capital between two counties. We focus on </w:t>
      </w:r>
      <w:r w:rsidR="00863923" w:rsidRPr="008B39E1">
        <w:rPr>
          <w:rFonts w:ascii="Times New Roman" w:hAnsi="Times New Roman" w:cs="Times New Roman"/>
          <w:sz w:val="24"/>
          <w:szCs w:val="24"/>
        </w:rPr>
        <w:t>absolute</w:t>
      </w:r>
      <w:r w:rsidRPr="008B39E1">
        <w:rPr>
          <w:rFonts w:ascii="Times New Roman" w:hAnsi="Times New Roman" w:cs="Times New Roman"/>
          <w:sz w:val="24"/>
          <w:szCs w:val="24"/>
        </w:rPr>
        <w:t xml:space="preserve"> change because we are agnostic about the qualitative interpretation of the social capital in each county and argue that </w:t>
      </w:r>
      <w:r w:rsidRPr="008B39E1">
        <w:rPr>
          <w:rFonts w:ascii="Times New Roman" w:hAnsi="Times New Roman" w:cs="Times New Roman"/>
          <w:i/>
          <w:iCs/>
          <w:sz w:val="24"/>
          <w:szCs w:val="24"/>
        </w:rPr>
        <w:t>magnitude</w:t>
      </w:r>
      <w:r w:rsidRPr="008B39E1">
        <w:rPr>
          <w:rFonts w:ascii="Times New Roman" w:hAnsi="Times New Roman" w:cs="Times New Roman"/>
          <w:sz w:val="24"/>
          <w:szCs w:val="24"/>
        </w:rPr>
        <w:t xml:space="preserve"> of disruption rather than </w:t>
      </w:r>
      <w:r w:rsidRPr="008B39E1">
        <w:rPr>
          <w:rFonts w:ascii="Times New Roman" w:hAnsi="Times New Roman" w:cs="Times New Roman"/>
          <w:i/>
          <w:iCs/>
          <w:sz w:val="24"/>
          <w:szCs w:val="24"/>
        </w:rPr>
        <w:t>direction</w:t>
      </w:r>
      <w:r w:rsidRPr="008B39E1">
        <w:rPr>
          <w:rFonts w:ascii="Times New Roman" w:hAnsi="Times New Roman" w:cs="Times New Roman"/>
          <w:sz w:val="24"/>
          <w:szCs w:val="24"/>
        </w:rPr>
        <w:t xml:space="preserve"> of disruption impacts internal controls. </w:t>
      </w:r>
    </w:p>
    <w:p w14:paraId="083451F4" w14:textId="684EB1A0" w:rsidR="00385A6D" w:rsidRDefault="00385A6D" w:rsidP="004E6320">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RQ3: Relocation and Internal Control </w:t>
      </w:r>
      <w:r w:rsidR="009363C3" w:rsidRPr="008B39E1">
        <w:rPr>
          <w:rFonts w:ascii="Times New Roman" w:hAnsi="Times New Roman" w:cs="Times New Roman"/>
          <w:b/>
          <w:bCs/>
          <w:sz w:val="24"/>
          <w:szCs w:val="24"/>
        </w:rPr>
        <w:t>Q</w:t>
      </w:r>
      <w:r w:rsidRPr="008B39E1">
        <w:rPr>
          <w:rFonts w:ascii="Times New Roman" w:hAnsi="Times New Roman" w:cs="Times New Roman"/>
          <w:b/>
          <w:bCs/>
          <w:sz w:val="24"/>
          <w:szCs w:val="24"/>
        </w:rPr>
        <w:t xml:space="preserve">uality: </w:t>
      </w:r>
      <w:r w:rsidR="009363C3" w:rsidRPr="008B39E1">
        <w:rPr>
          <w:rFonts w:ascii="Times New Roman" w:hAnsi="Times New Roman" w:cs="Times New Roman"/>
          <w:b/>
          <w:bCs/>
          <w:sz w:val="24"/>
          <w:szCs w:val="24"/>
        </w:rPr>
        <w:t>T</w:t>
      </w:r>
      <w:r w:rsidR="002409F0" w:rsidRPr="008B39E1">
        <w:rPr>
          <w:rFonts w:ascii="Times New Roman" w:hAnsi="Times New Roman" w:cs="Times New Roman"/>
          <w:b/>
          <w:bCs/>
          <w:sz w:val="24"/>
          <w:szCs w:val="24"/>
        </w:rPr>
        <w:t xml:space="preserve">he </w:t>
      </w:r>
      <w:r w:rsidR="009363C3" w:rsidRPr="008B39E1">
        <w:rPr>
          <w:rFonts w:ascii="Times New Roman" w:hAnsi="Times New Roman" w:cs="Times New Roman"/>
          <w:b/>
          <w:bCs/>
          <w:sz w:val="24"/>
          <w:szCs w:val="24"/>
        </w:rPr>
        <w:t>R</w:t>
      </w:r>
      <w:r w:rsidR="002409F0" w:rsidRPr="008B39E1">
        <w:rPr>
          <w:rFonts w:ascii="Times New Roman" w:hAnsi="Times New Roman" w:cs="Times New Roman"/>
          <w:b/>
          <w:bCs/>
          <w:sz w:val="24"/>
          <w:szCs w:val="24"/>
        </w:rPr>
        <w:t xml:space="preserve">ole of </w:t>
      </w:r>
      <w:r w:rsidR="006F206B" w:rsidRPr="008B39E1">
        <w:rPr>
          <w:rFonts w:ascii="Times New Roman" w:hAnsi="Times New Roman" w:cs="Times New Roman"/>
          <w:b/>
          <w:bCs/>
          <w:sz w:val="24"/>
          <w:szCs w:val="24"/>
        </w:rPr>
        <w:t>C</w:t>
      </w:r>
      <w:r w:rsidR="00A22412" w:rsidRPr="008B39E1">
        <w:rPr>
          <w:rFonts w:ascii="Times New Roman" w:hAnsi="Times New Roman" w:cs="Times New Roman"/>
          <w:b/>
          <w:bCs/>
          <w:sz w:val="24"/>
          <w:szCs w:val="24"/>
        </w:rPr>
        <w:t>ontrol</w:t>
      </w:r>
      <w:r w:rsidR="006071BD" w:rsidRPr="008B39E1">
        <w:rPr>
          <w:rFonts w:ascii="Times New Roman" w:hAnsi="Times New Roman" w:cs="Times New Roman"/>
          <w:b/>
          <w:bCs/>
          <w:sz w:val="24"/>
          <w:szCs w:val="24"/>
        </w:rPr>
        <w:t>-</w:t>
      </w:r>
      <w:r w:rsidR="006F206B" w:rsidRPr="008B39E1">
        <w:rPr>
          <w:rFonts w:ascii="Times New Roman" w:hAnsi="Times New Roman" w:cs="Times New Roman"/>
          <w:b/>
          <w:bCs/>
          <w:sz w:val="24"/>
          <w:szCs w:val="24"/>
        </w:rPr>
        <w:t>D</w:t>
      </w:r>
      <w:r w:rsidR="00A22412" w:rsidRPr="008B39E1">
        <w:rPr>
          <w:rFonts w:ascii="Times New Roman" w:hAnsi="Times New Roman" w:cs="Times New Roman"/>
          <w:b/>
          <w:bCs/>
          <w:sz w:val="24"/>
          <w:szCs w:val="24"/>
        </w:rPr>
        <w:t>ependen</w:t>
      </w:r>
      <w:r w:rsidR="006071BD" w:rsidRPr="008B39E1">
        <w:rPr>
          <w:rFonts w:ascii="Times New Roman" w:hAnsi="Times New Roman" w:cs="Times New Roman"/>
          <w:b/>
          <w:bCs/>
          <w:sz w:val="24"/>
          <w:szCs w:val="24"/>
        </w:rPr>
        <w:t>ce</w:t>
      </w:r>
      <w:r w:rsidR="00A22412" w:rsidRPr="008B39E1">
        <w:rPr>
          <w:rFonts w:ascii="Times New Roman" w:hAnsi="Times New Roman" w:cs="Times New Roman"/>
          <w:b/>
          <w:bCs/>
          <w:sz w:val="24"/>
          <w:szCs w:val="24"/>
        </w:rPr>
        <w:t xml:space="preserve"> on </w:t>
      </w:r>
      <w:r w:rsidR="006F206B" w:rsidRPr="008B39E1">
        <w:rPr>
          <w:rFonts w:ascii="Times New Roman" w:hAnsi="Times New Roman" w:cs="Times New Roman"/>
          <w:b/>
          <w:bCs/>
          <w:sz w:val="24"/>
          <w:szCs w:val="24"/>
        </w:rPr>
        <w:t>E</w:t>
      </w:r>
      <w:r w:rsidR="00A22412" w:rsidRPr="008B39E1">
        <w:rPr>
          <w:rFonts w:ascii="Times New Roman" w:hAnsi="Times New Roman" w:cs="Times New Roman"/>
          <w:b/>
          <w:bCs/>
          <w:sz w:val="24"/>
          <w:szCs w:val="24"/>
        </w:rPr>
        <w:t xml:space="preserve">mployee </w:t>
      </w:r>
      <w:r w:rsidR="006F206B" w:rsidRPr="008B39E1">
        <w:rPr>
          <w:rFonts w:ascii="Times New Roman" w:hAnsi="Times New Roman" w:cs="Times New Roman"/>
          <w:b/>
          <w:bCs/>
          <w:sz w:val="24"/>
          <w:szCs w:val="24"/>
        </w:rPr>
        <w:t>E</w:t>
      </w:r>
      <w:r w:rsidR="00A22412" w:rsidRPr="008B39E1">
        <w:rPr>
          <w:rFonts w:ascii="Times New Roman" w:hAnsi="Times New Roman" w:cs="Times New Roman"/>
          <w:b/>
          <w:bCs/>
          <w:sz w:val="24"/>
          <w:szCs w:val="24"/>
        </w:rPr>
        <w:t>xperience</w:t>
      </w:r>
    </w:p>
    <w:p w14:paraId="43B9406C" w14:textId="77777777" w:rsidR="004E6320" w:rsidRPr="00E552A1" w:rsidRDefault="004E6320" w:rsidP="004E6320">
      <w:pPr>
        <w:spacing w:after="0" w:line="240" w:lineRule="auto"/>
        <w:rPr>
          <w:rFonts w:ascii="Times New Roman" w:hAnsi="Times New Roman" w:cs="Times New Roman"/>
          <w:b/>
          <w:bCs/>
          <w:sz w:val="24"/>
          <w:szCs w:val="24"/>
        </w:rPr>
      </w:pPr>
    </w:p>
    <w:p w14:paraId="22BE7EAF" w14:textId="17149E37" w:rsidR="00A457AE" w:rsidRPr="008B39E1" w:rsidRDefault="00385A6D" w:rsidP="00981B19">
      <w:pPr>
        <w:spacing w:after="0" w:line="480" w:lineRule="auto"/>
        <w:rPr>
          <w:rFonts w:ascii="Times New Roman" w:hAnsi="Times New Roman" w:cs="Times New Roman"/>
          <w:sz w:val="24"/>
          <w:szCs w:val="24"/>
        </w:rPr>
      </w:pPr>
      <w:r w:rsidRPr="008B39E1">
        <w:rPr>
          <w:rFonts w:ascii="Times New Roman" w:hAnsi="Times New Roman" w:cs="Times New Roman"/>
          <w:sz w:val="24"/>
          <w:szCs w:val="24"/>
        </w:rPr>
        <w:tab/>
        <w:t xml:space="preserve">Internal controls </w:t>
      </w:r>
      <w:r w:rsidR="00536D22" w:rsidRPr="008B39E1">
        <w:rPr>
          <w:rFonts w:ascii="Times New Roman" w:hAnsi="Times New Roman" w:cs="Times New Roman"/>
          <w:sz w:val="24"/>
          <w:szCs w:val="24"/>
        </w:rPr>
        <w:t xml:space="preserve">over financial reporting </w:t>
      </w:r>
      <w:r w:rsidRPr="008B39E1">
        <w:rPr>
          <w:rFonts w:ascii="Times New Roman" w:hAnsi="Times New Roman" w:cs="Times New Roman"/>
          <w:sz w:val="24"/>
          <w:szCs w:val="24"/>
        </w:rPr>
        <w:t xml:space="preserve">fall into one of two general categories – automated and manual. </w:t>
      </w:r>
      <w:r w:rsidR="00DA25DE" w:rsidRPr="008B39E1">
        <w:rPr>
          <w:rFonts w:ascii="Times New Roman" w:hAnsi="Times New Roman" w:cs="Times New Roman"/>
          <w:sz w:val="24"/>
          <w:szCs w:val="24"/>
        </w:rPr>
        <w:t>Automated controls function without human intervention and are integrated within an entity’s enterprise system. General IT controls and non-HR employees having restricted access to payroll data are examples of automated controls.</w:t>
      </w:r>
      <w:r w:rsidR="002F7338" w:rsidRPr="008B39E1">
        <w:rPr>
          <w:rFonts w:ascii="Times New Roman" w:hAnsi="Times New Roman" w:cs="Times New Roman"/>
          <w:sz w:val="24"/>
          <w:szCs w:val="24"/>
        </w:rPr>
        <w:t xml:space="preserve"> We focus </w:t>
      </w:r>
      <w:r w:rsidR="0029626E" w:rsidRPr="008B39E1">
        <w:rPr>
          <w:rFonts w:ascii="Times New Roman" w:hAnsi="Times New Roman" w:cs="Times New Roman"/>
          <w:sz w:val="24"/>
          <w:szCs w:val="24"/>
        </w:rPr>
        <w:t>on the impact of relocation on manual internal controls.</w:t>
      </w:r>
      <w:r w:rsidR="00DA25DE" w:rsidRPr="008B39E1">
        <w:rPr>
          <w:rFonts w:ascii="Times New Roman" w:hAnsi="Times New Roman" w:cs="Times New Roman"/>
          <w:sz w:val="24"/>
          <w:szCs w:val="24"/>
        </w:rPr>
        <w:t xml:space="preserve"> Manual controls</w:t>
      </w:r>
      <w:r w:rsidR="00B02F0B" w:rsidRPr="008B39E1">
        <w:rPr>
          <w:rFonts w:ascii="Times New Roman" w:hAnsi="Times New Roman" w:cs="Times New Roman"/>
          <w:sz w:val="24"/>
          <w:szCs w:val="24"/>
        </w:rPr>
        <w:t xml:space="preserve"> </w:t>
      </w:r>
      <w:r w:rsidR="00DA25DE" w:rsidRPr="008B39E1">
        <w:rPr>
          <w:rFonts w:ascii="Times New Roman" w:hAnsi="Times New Roman" w:cs="Times New Roman"/>
          <w:sz w:val="24"/>
          <w:szCs w:val="24"/>
        </w:rPr>
        <w:t>require some amount of human intervention</w:t>
      </w:r>
      <w:r w:rsidR="008979E0" w:rsidRPr="008B39E1">
        <w:rPr>
          <w:rFonts w:ascii="Times New Roman" w:hAnsi="Times New Roman" w:cs="Times New Roman"/>
          <w:sz w:val="24"/>
          <w:szCs w:val="24"/>
        </w:rPr>
        <w:t xml:space="preserve"> and therefore, employee judgment and experience</w:t>
      </w:r>
      <w:r w:rsidR="00DA25DE" w:rsidRPr="008B39E1">
        <w:rPr>
          <w:rFonts w:ascii="Times New Roman" w:hAnsi="Times New Roman" w:cs="Times New Roman"/>
          <w:sz w:val="24"/>
          <w:szCs w:val="24"/>
        </w:rPr>
        <w:t xml:space="preserve"> to properly function. </w:t>
      </w:r>
      <w:r w:rsidR="000A3D46" w:rsidRPr="008B39E1">
        <w:rPr>
          <w:rFonts w:ascii="Times New Roman" w:hAnsi="Times New Roman" w:cs="Times New Roman"/>
          <w:sz w:val="24"/>
          <w:szCs w:val="24"/>
        </w:rPr>
        <w:t xml:space="preserve">On one extreme, some manual controls </w:t>
      </w:r>
      <w:r w:rsidR="00210DA3" w:rsidRPr="008B39E1">
        <w:rPr>
          <w:rFonts w:ascii="Times New Roman" w:hAnsi="Times New Roman" w:cs="Times New Roman"/>
          <w:sz w:val="24"/>
          <w:szCs w:val="24"/>
        </w:rPr>
        <w:t xml:space="preserve">require very little judgment; we </w:t>
      </w:r>
      <w:r w:rsidR="00DE6314" w:rsidRPr="008B39E1">
        <w:rPr>
          <w:rFonts w:ascii="Times New Roman" w:hAnsi="Times New Roman" w:cs="Times New Roman"/>
          <w:sz w:val="24"/>
          <w:szCs w:val="24"/>
        </w:rPr>
        <w:t>categorize</w:t>
      </w:r>
      <w:r w:rsidR="00210DA3" w:rsidRPr="008B39E1">
        <w:rPr>
          <w:rFonts w:ascii="Times New Roman" w:hAnsi="Times New Roman" w:cs="Times New Roman"/>
          <w:sz w:val="24"/>
          <w:szCs w:val="24"/>
        </w:rPr>
        <w:t xml:space="preserve"> these</w:t>
      </w:r>
      <w:r w:rsidR="00DE6314" w:rsidRPr="008B39E1">
        <w:rPr>
          <w:rFonts w:ascii="Times New Roman" w:hAnsi="Times New Roman" w:cs="Times New Roman"/>
          <w:sz w:val="24"/>
          <w:szCs w:val="24"/>
        </w:rPr>
        <w:t xml:space="preserve"> as</w:t>
      </w:r>
      <w:r w:rsidR="00210DA3" w:rsidRPr="008B39E1">
        <w:rPr>
          <w:rFonts w:ascii="Times New Roman" w:hAnsi="Times New Roman" w:cs="Times New Roman"/>
          <w:sz w:val="24"/>
          <w:szCs w:val="24"/>
        </w:rPr>
        <w:t xml:space="preserve"> </w:t>
      </w:r>
      <w:r w:rsidR="00210DA3" w:rsidRPr="008B39E1">
        <w:rPr>
          <w:rFonts w:ascii="Times New Roman" w:hAnsi="Times New Roman" w:cs="Times New Roman"/>
          <w:i/>
          <w:iCs/>
          <w:sz w:val="24"/>
          <w:szCs w:val="24"/>
        </w:rPr>
        <w:t xml:space="preserve">procedural </w:t>
      </w:r>
      <w:r w:rsidR="00210DA3" w:rsidRPr="008B39E1">
        <w:rPr>
          <w:rFonts w:ascii="Times New Roman" w:hAnsi="Times New Roman" w:cs="Times New Roman"/>
          <w:sz w:val="24"/>
          <w:szCs w:val="24"/>
        </w:rPr>
        <w:t xml:space="preserve">controls. </w:t>
      </w:r>
      <w:r w:rsidR="00DA25DE" w:rsidRPr="008B39E1">
        <w:rPr>
          <w:rFonts w:ascii="Times New Roman" w:hAnsi="Times New Roman" w:cs="Times New Roman"/>
          <w:sz w:val="24"/>
          <w:szCs w:val="24"/>
        </w:rPr>
        <w:t xml:space="preserve">Examples include a control around new employees reading and signing the company’s employee handbook or employees receiving regular mandatory training. Procedural controls also involve the assignment of employees to various roles but do not determine the nature of the assigned roles. </w:t>
      </w:r>
    </w:p>
    <w:p w14:paraId="6DE6CFF6" w14:textId="571B7B09" w:rsidR="00DA25DE" w:rsidRPr="008B39E1" w:rsidRDefault="00DD1870"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In contrast, </w:t>
      </w:r>
      <w:r w:rsidRPr="008B39E1">
        <w:rPr>
          <w:rFonts w:ascii="Times New Roman" w:hAnsi="Times New Roman" w:cs="Times New Roman"/>
          <w:i/>
          <w:iCs/>
          <w:sz w:val="24"/>
          <w:szCs w:val="24"/>
        </w:rPr>
        <w:t>non-procedural</w:t>
      </w:r>
      <w:r w:rsidRPr="008B39E1">
        <w:rPr>
          <w:rFonts w:ascii="Times New Roman" w:hAnsi="Times New Roman" w:cs="Times New Roman"/>
          <w:sz w:val="24"/>
          <w:szCs w:val="24"/>
        </w:rPr>
        <w:t xml:space="preserve"> controls are m</w:t>
      </w:r>
      <w:r w:rsidR="00077EB6" w:rsidRPr="008B39E1">
        <w:rPr>
          <w:rFonts w:ascii="Times New Roman" w:hAnsi="Times New Roman" w:cs="Times New Roman"/>
          <w:sz w:val="24"/>
          <w:szCs w:val="24"/>
        </w:rPr>
        <w:t>anual controls that require employee experience and/or judgment to properly function.</w:t>
      </w:r>
      <w:r w:rsidR="00DA25DE" w:rsidRPr="008B39E1">
        <w:rPr>
          <w:rFonts w:ascii="Times New Roman" w:hAnsi="Times New Roman" w:cs="Times New Roman"/>
          <w:sz w:val="24"/>
          <w:szCs w:val="24"/>
        </w:rPr>
        <w:t xml:space="preserve"> </w:t>
      </w:r>
      <w:r w:rsidR="003F6BE2" w:rsidRPr="008B39E1">
        <w:rPr>
          <w:rFonts w:ascii="Times New Roman" w:hAnsi="Times New Roman" w:cs="Times New Roman"/>
          <w:sz w:val="24"/>
          <w:szCs w:val="24"/>
        </w:rPr>
        <w:t>Examples include</w:t>
      </w:r>
      <w:r w:rsidR="00DA25DE" w:rsidRPr="008B39E1">
        <w:rPr>
          <w:rFonts w:ascii="Times New Roman" w:hAnsi="Times New Roman" w:cs="Times New Roman"/>
          <w:sz w:val="24"/>
          <w:szCs w:val="24"/>
        </w:rPr>
        <w:t xml:space="preserve"> a warehouse employee counting delivered inventory and reconciling the count to the bill of </w:t>
      </w:r>
      <w:r w:rsidRPr="008B39E1">
        <w:rPr>
          <w:rFonts w:ascii="Times New Roman" w:hAnsi="Times New Roman" w:cs="Times New Roman"/>
          <w:sz w:val="24"/>
          <w:szCs w:val="24"/>
        </w:rPr>
        <w:t>lading or</w:t>
      </w:r>
      <w:r w:rsidR="00DA25DE" w:rsidRPr="008B39E1">
        <w:rPr>
          <w:rFonts w:ascii="Times New Roman" w:hAnsi="Times New Roman" w:cs="Times New Roman"/>
          <w:sz w:val="24"/>
          <w:szCs w:val="24"/>
        </w:rPr>
        <w:t xml:space="preserve"> approving a list of invoices generated by the accounts payable system. Other</w:t>
      </w:r>
      <w:r w:rsidR="003F6BE2" w:rsidRPr="008B39E1">
        <w:rPr>
          <w:rFonts w:ascii="Times New Roman" w:hAnsi="Times New Roman" w:cs="Times New Roman"/>
          <w:sz w:val="24"/>
          <w:szCs w:val="24"/>
        </w:rPr>
        <w:t xml:space="preserve"> examples of</w:t>
      </w:r>
      <w:r w:rsidR="00DA25DE" w:rsidRPr="008B39E1">
        <w:rPr>
          <w:rFonts w:ascii="Times New Roman" w:hAnsi="Times New Roman" w:cs="Times New Roman"/>
          <w:sz w:val="24"/>
          <w:szCs w:val="24"/>
        </w:rPr>
        <w:t xml:space="preserve"> manual controls that rely on employee judgment include reconciling account balances at month end, resolving exceptions, or determining the appropriate accounting treatment for equity investments. </w:t>
      </w:r>
    </w:p>
    <w:p w14:paraId="6D49FAB1" w14:textId="09030A8B" w:rsidR="00C76804" w:rsidRPr="008B39E1" w:rsidRDefault="00385A6D"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lastRenderedPageBreak/>
        <w:t xml:space="preserve"> Therefore</w:t>
      </w:r>
      <w:r w:rsidR="00B34C08" w:rsidRPr="008B39E1">
        <w:rPr>
          <w:rFonts w:ascii="Times New Roman" w:hAnsi="Times New Roman" w:cs="Times New Roman"/>
          <w:sz w:val="24"/>
          <w:szCs w:val="24"/>
        </w:rPr>
        <w:t>,</w:t>
      </w:r>
      <w:r w:rsidRPr="008B39E1">
        <w:rPr>
          <w:rFonts w:ascii="Times New Roman" w:hAnsi="Times New Roman" w:cs="Times New Roman"/>
          <w:sz w:val="24"/>
          <w:szCs w:val="24"/>
        </w:rPr>
        <w:t xml:space="preserve"> we examine whether the adverse effect on effectiveness of internal control following relocation is </w:t>
      </w:r>
      <w:r w:rsidR="002409F0" w:rsidRPr="008B39E1">
        <w:rPr>
          <w:rFonts w:ascii="Times New Roman" w:hAnsi="Times New Roman" w:cs="Times New Roman"/>
          <w:sz w:val="24"/>
          <w:szCs w:val="24"/>
        </w:rPr>
        <w:t xml:space="preserve">particularly marked </w:t>
      </w:r>
      <w:r w:rsidRPr="008B39E1">
        <w:rPr>
          <w:rFonts w:ascii="Times New Roman" w:hAnsi="Times New Roman" w:cs="Times New Roman"/>
          <w:sz w:val="24"/>
          <w:szCs w:val="24"/>
        </w:rPr>
        <w:t>when internal controls are employee experience-dependent internal controls</w:t>
      </w:r>
      <w:r w:rsidR="006C6BCE" w:rsidRPr="008B39E1">
        <w:rPr>
          <w:rFonts w:ascii="Times New Roman" w:hAnsi="Times New Roman" w:cs="Times New Roman"/>
          <w:sz w:val="24"/>
          <w:szCs w:val="24"/>
        </w:rPr>
        <w:t>.</w:t>
      </w:r>
    </w:p>
    <w:p w14:paraId="5C030D94" w14:textId="0D7A43EE" w:rsidR="00452505" w:rsidRPr="008B39E1" w:rsidRDefault="00452505" w:rsidP="00981B19">
      <w:pPr>
        <w:spacing w:after="0" w:line="48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III. Research Design</w:t>
      </w:r>
    </w:p>
    <w:p w14:paraId="3930BA4A" w14:textId="77777777" w:rsidR="000B646B" w:rsidRPr="008B39E1" w:rsidRDefault="000B646B" w:rsidP="00981B19">
      <w:pPr>
        <w:spacing w:after="0" w:line="480" w:lineRule="auto"/>
        <w:rPr>
          <w:rFonts w:ascii="Times New Roman" w:hAnsi="Times New Roman" w:cs="Times New Roman"/>
          <w:sz w:val="24"/>
          <w:szCs w:val="24"/>
        </w:rPr>
      </w:pPr>
      <w:r w:rsidRPr="008B39E1">
        <w:rPr>
          <w:rFonts w:ascii="Times New Roman" w:hAnsi="Times New Roman" w:cs="Times New Roman"/>
          <w:b/>
          <w:bCs/>
          <w:sz w:val="24"/>
          <w:szCs w:val="24"/>
        </w:rPr>
        <w:t xml:space="preserve">Relocation Disruption Measure </w:t>
      </w:r>
    </w:p>
    <w:p w14:paraId="1D677F0E" w14:textId="22940E44" w:rsidR="000B646B" w:rsidRPr="008B39E1" w:rsidRDefault="000B646B" w:rsidP="00981B19">
      <w:pPr>
        <w:spacing w:after="0" w:line="480" w:lineRule="auto"/>
        <w:rPr>
          <w:rFonts w:ascii="Times New Roman" w:hAnsi="Times New Roman" w:cs="Times New Roman"/>
          <w:sz w:val="24"/>
          <w:szCs w:val="24"/>
        </w:rPr>
      </w:pPr>
      <w:r w:rsidRPr="008B39E1">
        <w:rPr>
          <w:rFonts w:ascii="Times New Roman" w:hAnsi="Times New Roman" w:cs="Times New Roman"/>
          <w:sz w:val="24"/>
          <w:szCs w:val="24"/>
        </w:rPr>
        <w:tab/>
        <w:t>We use a U.S. county-level social capital index as a proxy for the extent of psychosocial disruption to employees associated with firm relocations. The Northeast Regional Center for Rural Development (</w:t>
      </w:r>
      <w:proofErr w:type="spellStart"/>
      <w:r w:rsidRPr="008B39E1">
        <w:rPr>
          <w:rFonts w:ascii="Times New Roman" w:hAnsi="Times New Roman" w:cs="Times New Roman"/>
          <w:sz w:val="24"/>
          <w:szCs w:val="24"/>
        </w:rPr>
        <w:t>NRCRD</w:t>
      </w:r>
      <w:proofErr w:type="spellEnd"/>
      <w:r w:rsidRPr="008B39E1">
        <w:rPr>
          <w:rFonts w:ascii="Times New Roman" w:hAnsi="Times New Roman" w:cs="Times New Roman"/>
          <w:sz w:val="24"/>
          <w:szCs w:val="24"/>
        </w:rPr>
        <w:t xml:space="preserve">) at Pennsylvania State University provides the index, developed by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{"citationItems":[{"id":"ITEM-1","itemData":{"DOI":"10.1016/j.socec.2005.11.001","ISSN":"10535357","abstract":"A growing belief exists that social capital contributes to economic growth of communities. In this paper, we identify inputs into the production of social capital at the level of US counties, using an array of individual and community factors that are theoretically important determinants of social capital. We use data from the Bureau of the Census, County Business Patterns, USA Counties on CD, National Center for Charitable Statistics, and the Regional Economic Information System for two time periods. Ethnic homogeneity, income inequality, attachment to place, education, age, and female labor force participation are strongly associated with levels of social capital across US counties. © 2005 Elsevier Inc. All rights reserved.","author":[{"dropping-particle":"","family":"Rupasingha","given":"Anil","non-dropping-particle":"","parse-names":false,"suffix":""},{"dropping-particle":"","family":"Goetz","given":"Stephan J.","non-dropping-particle":"","parse-names":false,"suffix":""},{"dropping-particle":"","family":"Freshwater","given":"David","non-dropping-particle":"","parse-names":false,"suffix":""}],"container-title":"Journal of Socio-Economics","id":"ITEM-1","issue":"1","issued":{"date-parts":[["2006"]]},"page":"83-101","title":"The production of social capital in US counties","type":"article-journal","volume":"35"},"uris":["http://www.mendeley.com/documents/?uuid=44091493-6467-4571-a7a1-d98ed838110a"]}],"mendeley":{"formattedCitation":"(Rupasingha et al. 2006)","manualFormatting":"Rupasingha et al. (2006)","plainTextFormattedCitation":"(Rupasingha et al. 2006)","previouslyFormattedCitation":"(Rupasingha et al. 2006)"},"properties":{"noteIndex":0},"schema":"https://github.com/citation-style-language/schema/raw/master/csl-citation.json"}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 xml:space="preserve">Rupasingha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 (2006)</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The index is computed from a principal component analysis using four county characteristics: (1) voter turnout, (2) census response rates, (3) number of nonprofit organizations, and (4) number of social, recreational, and religious organizations and associations per every 10,000 individuals of an U.S. county in the survey year.</w:t>
      </w:r>
      <w:r w:rsidRPr="008B39E1">
        <w:rPr>
          <w:rStyle w:val="FootnoteReference"/>
          <w:rFonts w:ascii="Times New Roman" w:hAnsi="Times New Roman" w:cs="Times New Roman"/>
        </w:rPr>
        <w:footnoteReference w:id="16"/>
      </w:r>
      <w:r w:rsidRPr="008B39E1">
        <w:rPr>
          <w:rFonts w:ascii="Times New Roman" w:hAnsi="Times New Roman" w:cs="Times New Roman"/>
          <w:sz w:val="24"/>
          <w:szCs w:val="24"/>
        </w:rPr>
        <w:t xml:space="preserve"> Voter turnout and census response rates measure a county’s sense of civic responsibilities, while social, recreational, religious, and nonprofit organizations densities capture the residents’ behavioral and social networks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{"citationItems":[{"id":"ITEM-1","itemData":{"DOI":"10.1016/j.socec.2005.11.001","ISSN":"10535357","abstract":"A growing belief exists that social capital contributes to economic growth of communities. In this paper, we identify inputs into the production of social capital at the level of US counties, using an array of individual and community factors that are theoretically important determinants of social capital. We use data from the Bureau of the Census, County Business Patterns, USA Counties on CD, National Center for Charitable Statistics, and the Regional Economic Information System for two time periods. Ethnic homogeneity, income inequality, attachment to place, education, age, and female labor force participation are strongly associated with levels of social capital across US counties. © 2005 Elsevier Inc. All rights reserved.","author":[{"dropping-particle":"","family":"Rupasingha","given":"Anil","non-dropping-particle":"","parse-names":false,"suffix":""},{"dropping-particle":"","family":"Goetz","given":"Stephan J.","non-dropping-particle":"","parse-names":false,"suffix":""},{"dropping-particle":"","family":"Freshwater","given":"David","non-dropping-particle":"","parse-names":false,"suffix":""}],"container-title":"Journal of Socio-Economics","id":"ITEM-1","issue":"1","issued":{"date-parts":[["2006"]]},"page":"83-101","title":"The production of social capital in US counties","type":"article-journal","volume":"35"},"uris":["http://www.mendeley.com/documents/?uuid=44091493-6467-4571-a7a1-d98ed838110a"]}],"mendeley":{"formattedCitation":"(Rupasingha et al. 2006)","plainTextFormattedCitation":"(Rupasingha et al. 2006)","previouslyFormattedCitation":"(Rupasingha et al. 2006)"},"properties":{"noteIndex":0},"schema":"https://github.com/citation-style-language/schema/raw/master/csl-citation.json"}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 xml:space="preserve">(Rupasingha </w:t>
      </w:r>
      <w:r w:rsidR="00ED2DA4" w:rsidRPr="008B39E1">
        <w:rPr>
          <w:rFonts w:ascii="Times New Roman" w:hAnsi="Times New Roman" w:cs="Times New Roman"/>
          <w:i/>
          <w:noProof/>
          <w:sz w:val="24"/>
          <w:szCs w:val="24"/>
        </w:rPr>
        <w:t>et al</w:t>
      </w:r>
      <w:r w:rsidRPr="008B39E1">
        <w:rPr>
          <w:rFonts w:ascii="Times New Roman" w:hAnsi="Times New Roman" w:cs="Times New Roman"/>
          <w:noProof/>
          <w:sz w:val="24"/>
          <w:szCs w:val="24"/>
        </w:rPr>
        <w:t>.</w:t>
      </w:r>
      <w:r w:rsidR="00400BCE"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2006)</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This data is updated periodically between 1997 and 2014.</w:t>
      </w:r>
      <w:r w:rsidRPr="008B39E1">
        <w:rPr>
          <w:rStyle w:val="FootnoteReference"/>
          <w:rFonts w:ascii="Times New Roman" w:hAnsi="Times New Roman" w:cs="Times New Roman"/>
        </w:rPr>
        <w:footnoteReference w:id="17"/>
      </w:r>
      <w:r w:rsidRPr="008B39E1">
        <w:rPr>
          <w:rFonts w:ascii="Times New Roman" w:hAnsi="Times New Roman" w:cs="Times New Roman"/>
          <w:sz w:val="24"/>
          <w:szCs w:val="24"/>
        </w:rPr>
        <w:t xml:space="preserve"> We use the 2009 data because it is in the middle of our sample period and the data year is closest to the 2010 U.S. Census data that we use to link counties to zip codes and firms’ headquarters locations. </w:t>
      </w:r>
    </w:p>
    <w:p w14:paraId="509D4B40" w14:textId="7B3502DC" w:rsidR="00D5702F" w:rsidRPr="008B39E1" w:rsidRDefault="00D5702F" w:rsidP="00981B19">
      <w:pPr>
        <w:spacing w:after="0" w:line="480" w:lineRule="auto"/>
        <w:rPr>
          <w:rFonts w:ascii="Times New Roman" w:hAnsi="Times New Roman" w:cs="Times New Roman"/>
          <w:sz w:val="24"/>
          <w:szCs w:val="24"/>
        </w:rPr>
      </w:pPr>
      <w:r w:rsidRPr="008B39E1">
        <w:rPr>
          <w:rFonts w:ascii="Times New Roman" w:hAnsi="Times New Roman" w:cs="Times New Roman"/>
          <w:sz w:val="24"/>
          <w:szCs w:val="24"/>
        </w:rPr>
        <w:tab/>
        <w:t xml:space="preserve">The </w:t>
      </w:r>
      <w:r w:rsidR="006A7A3C" w:rsidRPr="008B39E1">
        <w:rPr>
          <w:rFonts w:ascii="Times New Roman" w:hAnsi="Times New Roman" w:cs="Times New Roman"/>
          <w:sz w:val="24"/>
          <w:szCs w:val="24"/>
        </w:rPr>
        <w:t xml:space="preserve">four characteristics included in defining </w:t>
      </w:r>
      <w:r w:rsidRPr="008B39E1">
        <w:rPr>
          <w:rFonts w:ascii="Times New Roman" w:hAnsi="Times New Roman" w:cs="Times New Roman"/>
          <w:sz w:val="24"/>
          <w:szCs w:val="24"/>
        </w:rPr>
        <w:t>the social capital index allow</w:t>
      </w:r>
      <w:r w:rsidR="006A7A3C" w:rsidRPr="008B39E1">
        <w:rPr>
          <w:rFonts w:ascii="Times New Roman" w:hAnsi="Times New Roman" w:cs="Times New Roman"/>
          <w:sz w:val="24"/>
          <w:szCs w:val="24"/>
        </w:rPr>
        <w:t>s</w:t>
      </w:r>
      <w:r w:rsidRPr="008B39E1">
        <w:rPr>
          <w:rFonts w:ascii="Times New Roman" w:hAnsi="Times New Roman" w:cs="Times New Roman"/>
          <w:sz w:val="24"/>
          <w:szCs w:val="24"/>
        </w:rPr>
        <w:t xml:space="preserve"> for a partition into two </w:t>
      </w:r>
      <w:r w:rsidR="006A7A3C" w:rsidRPr="008B39E1">
        <w:rPr>
          <w:rFonts w:ascii="Times New Roman" w:hAnsi="Times New Roman" w:cs="Times New Roman"/>
          <w:sz w:val="24"/>
          <w:szCs w:val="24"/>
        </w:rPr>
        <w:t xml:space="preserve">social capital </w:t>
      </w:r>
      <w:r w:rsidRPr="008B39E1">
        <w:rPr>
          <w:rFonts w:ascii="Times New Roman" w:hAnsi="Times New Roman" w:cs="Times New Roman"/>
          <w:sz w:val="24"/>
          <w:szCs w:val="24"/>
        </w:rPr>
        <w:t xml:space="preserve">components, norms and networks. </w:t>
      </w:r>
      <w:r w:rsidR="0057418B" w:rsidRPr="008B39E1">
        <w:rPr>
          <w:rFonts w:ascii="Times New Roman" w:hAnsi="Times New Roman" w:cs="Times New Roman"/>
          <w:sz w:val="24"/>
          <w:szCs w:val="24"/>
        </w:rPr>
        <w:t xml:space="preserve">Following previous work, </w:t>
      </w:r>
      <w:r w:rsidR="00931CBF" w:rsidRPr="008B39E1">
        <w:rPr>
          <w:rFonts w:ascii="Times New Roman" w:hAnsi="Times New Roman" w:cs="Times New Roman"/>
          <w:sz w:val="24"/>
          <w:szCs w:val="24"/>
        </w:rPr>
        <w:t xml:space="preserve">we construct </w:t>
      </w:r>
      <w:r w:rsidR="00EF4467" w:rsidRPr="008B39E1">
        <w:rPr>
          <w:rFonts w:ascii="Times New Roman" w:hAnsi="Times New Roman" w:cs="Times New Roman"/>
          <w:sz w:val="24"/>
          <w:szCs w:val="24"/>
        </w:rPr>
        <w:t xml:space="preserve">norms </w:t>
      </w:r>
      <w:r w:rsidR="00D513B8" w:rsidRPr="008B39E1">
        <w:rPr>
          <w:rFonts w:ascii="Times New Roman" w:hAnsi="Times New Roman" w:cs="Times New Roman"/>
          <w:sz w:val="24"/>
          <w:szCs w:val="24"/>
        </w:rPr>
        <w:t xml:space="preserve">to </w:t>
      </w:r>
      <w:r w:rsidR="00894846" w:rsidRPr="008B39E1">
        <w:rPr>
          <w:rFonts w:ascii="Times New Roman" w:hAnsi="Times New Roman" w:cs="Times New Roman"/>
          <w:sz w:val="24"/>
          <w:szCs w:val="24"/>
        </w:rPr>
        <w:t>comprise</w:t>
      </w:r>
      <w:r w:rsidR="00EF4467" w:rsidRPr="008B39E1">
        <w:rPr>
          <w:rFonts w:ascii="Times New Roman" w:hAnsi="Times New Roman" w:cs="Times New Roman"/>
          <w:sz w:val="24"/>
          <w:szCs w:val="24"/>
        </w:rPr>
        <w:t xml:space="preserve"> </w:t>
      </w:r>
      <w:r w:rsidR="00BE530B" w:rsidRPr="008B39E1">
        <w:rPr>
          <w:rFonts w:ascii="Times New Roman" w:hAnsi="Times New Roman" w:cs="Times New Roman"/>
          <w:sz w:val="24"/>
          <w:szCs w:val="24"/>
        </w:rPr>
        <w:t xml:space="preserve">voter turnout and census </w:t>
      </w:r>
      <w:r w:rsidR="00400BCE" w:rsidRPr="008B39E1">
        <w:rPr>
          <w:rFonts w:ascii="Times New Roman" w:hAnsi="Times New Roman" w:cs="Times New Roman"/>
          <w:sz w:val="24"/>
          <w:szCs w:val="24"/>
        </w:rPr>
        <w:t>reports (#</w:t>
      </w:r>
      <w:r w:rsidR="00BE530B" w:rsidRPr="008B39E1">
        <w:rPr>
          <w:rFonts w:ascii="Times New Roman" w:hAnsi="Times New Roman" w:cs="Times New Roman"/>
          <w:sz w:val="24"/>
          <w:szCs w:val="24"/>
        </w:rPr>
        <w:t xml:space="preserve">1 and #2 above) and networks </w:t>
      </w:r>
      <w:r w:rsidR="00D513B8" w:rsidRPr="008B39E1">
        <w:rPr>
          <w:rFonts w:ascii="Times New Roman" w:hAnsi="Times New Roman" w:cs="Times New Roman"/>
          <w:sz w:val="24"/>
          <w:szCs w:val="24"/>
        </w:rPr>
        <w:t xml:space="preserve">to </w:t>
      </w:r>
      <w:r w:rsidR="00BE530B" w:rsidRPr="008B39E1">
        <w:rPr>
          <w:rFonts w:ascii="Times New Roman" w:hAnsi="Times New Roman" w:cs="Times New Roman"/>
          <w:sz w:val="24"/>
          <w:szCs w:val="24"/>
        </w:rPr>
        <w:t xml:space="preserve">comprise </w:t>
      </w:r>
      <w:r w:rsidR="00BE530B" w:rsidRPr="008B39E1">
        <w:rPr>
          <w:rFonts w:ascii="Times New Roman" w:hAnsi="Times New Roman" w:cs="Times New Roman"/>
          <w:sz w:val="24"/>
          <w:szCs w:val="24"/>
        </w:rPr>
        <w:lastRenderedPageBreak/>
        <w:t>number of nonprofit organizations, and number of social, recreational, and religious organizations (#3 and # 4 above)</w:t>
      </w:r>
      <w:r w:rsidR="00D34FD3" w:rsidRPr="008B39E1">
        <w:rPr>
          <w:rFonts w:ascii="Times New Roman" w:hAnsi="Times New Roman" w:cs="Times New Roman"/>
          <w:sz w:val="24"/>
          <w:szCs w:val="24"/>
        </w:rPr>
        <w:t xml:space="preserve"> (</w:t>
      </w:r>
      <w:r w:rsidR="004F2E4B" w:rsidRPr="008B39E1">
        <w:rPr>
          <w:rFonts w:ascii="Times New Roman" w:hAnsi="Times New Roman" w:cs="Times New Roman"/>
          <w:sz w:val="24"/>
          <w:szCs w:val="24"/>
        </w:rPr>
        <w:t xml:space="preserve">Hasan </w:t>
      </w:r>
      <w:r w:rsidR="004F2E4B" w:rsidRPr="008B39E1">
        <w:rPr>
          <w:rFonts w:ascii="Times New Roman" w:hAnsi="Times New Roman" w:cs="Times New Roman"/>
          <w:i/>
          <w:iCs/>
          <w:sz w:val="24"/>
          <w:szCs w:val="24"/>
        </w:rPr>
        <w:t>et al</w:t>
      </w:r>
      <w:r w:rsidR="004F2E4B" w:rsidRPr="008B39E1">
        <w:rPr>
          <w:rFonts w:ascii="Times New Roman" w:hAnsi="Times New Roman" w:cs="Times New Roman"/>
          <w:sz w:val="24"/>
          <w:szCs w:val="24"/>
        </w:rPr>
        <w:t>., 2017a, 2017b,</w:t>
      </w:r>
      <w:r w:rsidR="004F2E4B" w:rsidRPr="008B39E1">
        <w:rPr>
          <w:rFonts w:ascii="Times New Roman" w:hAnsi="Times New Roman" w:cs="Times New Roman"/>
          <w:i/>
          <w:iCs/>
          <w:sz w:val="24"/>
          <w:szCs w:val="24"/>
        </w:rPr>
        <w:t xml:space="preserve"> </w:t>
      </w:r>
      <w:r w:rsidR="00D34FD3" w:rsidRPr="008B39E1">
        <w:rPr>
          <w:rFonts w:ascii="Times New Roman" w:hAnsi="Times New Roman" w:cs="Times New Roman"/>
          <w:sz w:val="24"/>
          <w:szCs w:val="24"/>
        </w:rPr>
        <w:t xml:space="preserve">Krishnan </w:t>
      </w:r>
      <w:r w:rsidR="00D34FD3" w:rsidRPr="008B39E1">
        <w:rPr>
          <w:rFonts w:ascii="Times New Roman" w:hAnsi="Times New Roman" w:cs="Times New Roman"/>
          <w:i/>
          <w:iCs/>
          <w:sz w:val="24"/>
          <w:szCs w:val="24"/>
        </w:rPr>
        <w:t>et al</w:t>
      </w:r>
      <w:r w:rsidR="00D34FD3" w:rsidRPr="008B39E1">
        <w:rPr>
          <w:rFonts w:ascii="Times New Roman" w:hAnsi="Times New Roman" w:cs="Times New Roman"/>
          <w:sz w:val="24"/>
          <w:szCs w:val="24"/>
        </w:rPr>
        <w:t>., 2021</w:t>
      </w:r>
      <w:r w:rsidR="004F2E4B" w:rsidRPr="008B39E1">
        <w:rPr>
          <w:rFonts w:ascii="Times New Roman" w:hAnsi="Times New Roman" w:cs="Times New Roman"/>
          <w:sz w:val="24"/>
          <w:szCs w:val="24"/>
        </w:rPr>
        <w:t>)</w:t>
      </w:r>
      <w:r w:rsidR="00BE530B" w:rsidRPr="008B39E1">
        <w:rPr>
          <w:rFonts w:ascii="Times New Roman" w:hAnsi="Times New Roman" w:cs="Times New Roman"/>
          <w:sz w:val="24"/>
          <w:szCs w:val="24"/>
        </w:rPr>
        <w:t>.</w:t>
      </w:r>
      <w:r w:rsidR="00894846" w:rsidRPr="008B39E1">
        <w:rPr>
          <w:rFonts w:ascii="Times New Roman" w:hAnsi="Times New Roman" w:cs="Times New Roman"/>
          <w:sz w:val="24"/>
          <w:szCs w:val="24"/>
        </w:rPr>
        <w:t xml:space="preserve"> </w:t>
      </w:r>
    </w:p>
    <w:p w14:paraId="2681EB38" w14:textId="4C90F545" w:rsidR="000B646B" w:rsidRPr="008B39E1" w:rsidRDefault="000B646B"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We require all relocating firms to have social capital values for both the pre- and post-location counties. Using the firm’s business zip code to identify its county in the pre- and post-location years, we determine its social capital index in the two locations. We use the absolute difference in the social capital index between the two locations, </w:t>
      </w:r>
      <w:proofErr w:type="spellStart"/>
      <w:r w:rsidR="00BC4224" w:rsidRPr="008B39E1">
        <w:rPr>
          <w:rFonts w:ascii="Times New Roman" w:hAnsi="Times New Roman" w:cs="Times New Roman"/>
          <w:i/>
          <w:iCs/>
          <w:sz w:val="24"/>
          <w:szCs w:val="24"/>
        </w:rPr>
        <w:t>CHSC_raw</w:t>
      </w:r>
      <w:proofErr w:type="spellEnd"/>
      <w:r w:rsidRPr="008B39E1">
        <w:rPr>
          <w:rFonts w:ascii="Times New Roman" w:hAnsi="Times New Roman" w:cs="Times New Roman"/>
          <w:sz w:val="24"/>
          <w:szCs w:val="24"/>
        </w:rPr>
        <w:t xml:space="preserve">, to measure the difference in psychosocial factors between the two counties, agnostic of the direction of the change. We also construct a second measure, </w:t>
      </w:r>
      <w:proofErr w:type="spellStart"/>
      <w:r w:rsidR="007B2016" w:rsidRPr="008B39E1">
        <w:rPr>
          <w:rFonts w:ascii="Times New Roman" w:hAnsi="Times New Roman" w:cs="Times New Roman"/>
          <w:i/>
          <w:iCs/>
          <w:sz w:val="24"/>
          <w:szCs w:val="24"/>
        </w:rPr>
        <w:t>CHSC</w:t>
      </w:r>
      <w:proofErr w:type="spellEnd"/>
      <w:r w:rsidR="007B2016" w:rsidRPr="008B39E1">
        <w:rPr>
          <w:rFonts w:ascii="Times New Roman" w:hAnsi="Times New Roman" w:cs="Times New Roman"/>
          <w:sz w:val="24"/>
          <w:szCs w:val="24"/>
        </w:rPr>
        <w:t>,</w:t>
      </w:r>
      <w:r w:rsidR="001277AF" w:rsidRPr="008B39E1">
        <w:rPr>
          <w:rFonts w:ascii="Times New Roman" w:hAnsi="Times New Roman" w:cs="Times New Roman"/>
          <w:sz w:val="24"/>
          <w:szCs w:val="24"/>
        </w:rPr>
        <w:t xml:space="preserve"> </w:t>
      </w:r>
      <w:r w:rsidRPr="008B39E1">
        <w:rPr>
          <w:rFonts w:ascii="Times New Roman" w:hAnsi="Times New Roman" w:cs="Times New Roman"/>
          <w:sz w:val="24"/>
          <w:szCs w:val="24"/>
        </w:rPr>
        <w:t xml:space="preserve">an indicator variable coded 1 if the </w:t>
      </w:r>
      <w:r w:rsidRPr="008B39E1">
        <w:rPr>
          <w:rFonts w:ascii="Times New Roman" w:eastAsia="Times New Roman" w:hAnsi="Times New Roman" w:cs="Times New Roman"/>
          <w:color w:val="000000"/>
          <w:sz w:val="24"/>
          <w:szCs w:val="24"/>
        </w:rPr>
        <w:t xml:space="preserve">absolute difference in social capital from pre to post-relocation is greater than 0, and 0 otherwise. </w:t>
      </w:r>
    </w:p>
    <w:p w14:paraId="6129807C" w14:textId="77777777" w:rsidR="000B646B" w:rsidRPr="008B39E1" w:rsidRDefault="000B646B" w:rsidP="00981B19">
      <w:pPr>
        <w:spacing w:after="0" w:line="48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Employee Experience and </w:t>
      </w:r>
      <w:proofErr w:type="gramStart"/>
      <w:r w:rsidRPr="008B39E1">
        <w:rPr>
          <w:rFonts w:ascii="Times New Roman" w:hAnsi="Times New Roman" w:cs="Times New Roman"/>
          <w:b/>
          <w:bCs/>
          <w:sz w:val="24"/>
          <w:szCs w:val="24"/>
        </w:rPr>
        <w:t>Internal Control Effectiveness</w:t>
      </w:r>
      <w:proofErr w:type="gramEnd"/>
    </w:p>
    <w:p w14:paraId="5261C129" w14:textId="77777777" w:rsidR="00254866" w:rsidRPr="008B39E1" w:rsidRDefault="000B646B" w:rsidP="00981B19">
      <w:pPr>
        <w:spacing w:after="0" w:line="480" w:lineRule="auto"/>
        <w:rPr>
          <w:rFonts w:ascii="Times New Roman" w:hAnsi="Times New Roman" w:cs="Times New Roman"/>
          <w:sz w:val="24"/>
          <w:szCs w:val="24"/>
        </w:rPr>
      </w:pPr>
      <w:r w:rsidRPr="008B39E1">
        <w:rPr>
          <w:rFonts w:ascii="Times New Roman" w:hAnsi="Times New Roman" w:cs="Times New Roman"/>
          <w:sz w:val="24"/>
          <w:szCs w:val="24"/>
        </w:rPr>
        <w:tab/>
        <w:t xml:space="preserve">In RQ3, we examine possible </w:t>
      </w:r>
      <w:r w:rsidR="000116BE" w:rsidRPr="008B39E1">
        <w:rPr>
          <w:rFonts w:ascii="Times New Roman" w:hAnsi="Times New Roman" w:cs="Times New Roman"/>
          <w:sz w:val="24"/>
          <w:szCs w:val="24"/>
        </w:rPr>
        <w:t>differences</w:t>
      </w:r>
      <w:r w:rsidRPr="008B39E1">
        <w:rPr>
          <w:rFonts w:ascii="Times New Roman" w:hAnsi="Times New Roman" w:cs="Times New Roman"/>
          <w:sz w:val="24"/>
          <w:szCs w:val="24"/>
        </w:rPr>
        <w:t xml:space="preserve"> in the disruption effects of relocation arising from controls that are or are not very dependent on stability in the firm’s work force. </w:t>
      </w:r>
      <w:r w:rsidR="00A22412" w:rsidRPr="008B39E1">
        <w:rPr>
          <w:rFonts w:ascii="Times New Roman" w:hAnsi="Times New Roman" w:cs="Times New Roman"/>
          <w:sz w:val="24"/>
          <w:szCs w:val="24"/>
        </w:rPr>
        <w:t>W</w:t>
      </w:r>
      <w:r w:rsidRPr="008B39E1">
        <w:rPr>
          <w:rFonts w:ascii="Times New Roman" w:hAnsi="Times New Roman" w:cs="Times New Roman"/>
          <w:sz w:val="24"/>
          <w:szCs w:val="24"/>
        </w:rPr>
        <w:t>e posit that headquarter relocations induce employee turnover and/or changes to employee roles and responsibilities that can disrupt the</w:t>
      </w:r>
      <w:r w:rsidR="00814EAF" w:rsidRPr="008B39E1">
        <w:rPr>
          <w:rFonts w:ascii="Times New Roman" w:hAnsi="Times New Roman" w:cs="Times New Roman"/>
          <w:sz w:val="24"/>
          <w:szCs w:val="24"/>
        </w:rPr>
        <w:t xml:space="preserve"> </w:t>
      </w:r>
      <w:r w:rsidRPr="008B39E1">
        <w:rPr>
          <w:rFonts w:ascii="Times New Roman" w:hAnsi="Times New Roman" w:cs="Times New Roman"/>
          <w:sz w:val="24"/>
          <w:szCs w:val="24"/>
        </w:rPr>
        <w:t xml:space="preserve">proper implementation of manual and employee experience-dependent internal controls, </w:t>
      </w:r>
      <w:r w:rsidR="007607DB" w:rsidRPr="008B39E1">
        <w:rPr>
          <w:rFonts w:ascii="Times New Roman" w:hAnsi="Times New Roman" w:cs="Times New Roman"/>
          <w:sz w:val="24"/>
          <w:szCs w:val="24"/>
        </w:rPr>
        <w:t>thus</w:t>
      </w:r>
      <w:r w:rsidRPr="008B39E1">
        <w:rPr>
          <w:rFonts w:ascii="Times New Roman" w:hAnsi="Times New Roman" w:cs="Times New Roman"/>
          <w:sz w:val="24"/>
          <w:szCs w:val="24"/>
        </w:rPr>
        <w:t xml:space="preserve"> increasing the likelihood of internal control weaknesses. We use detailed explanations in the Audit Analytics database to categorize internal control weaknesses into those that (1) are procedural in nature and do not depend on employee experience and (2) relate to employee experience-dependent internal controls. </w:t>
      </w:r>
    </w:p>
    <w:p w14:paraId="0E453DA8" w14:textId="498A1C05" w:rsidR="000B646B" w:rsidRPr="008B39E1" w:rsidRDefault="000B646B" w:rsidP="00981B19">
      <w:pPr>
        <w:spacing w:after="0" w:line="480" w:lineRule="auto"/>
        <w:ind w:firstLine="720"/>
        <w:rPr>
          <w:rFonts w:ascii="Times New Roman" w:hAnsi="Times New Roman" w:cs="Times New Roman"/>
          <w:b/>
          <w:bCs/>
          <w:sz w:val="24"/>
          <w:szCs w:val="24"/>
        </w:rPr>
      </w:pPr>
      <w:r w:rsidRPr="008B39E1">
        <w:rPr>
          <w:rFonts w:ascii="Times New Roman" w:hAnsi="Times New Roman" w:cs="Times New Roman"/>
          <w:sz w:val="24"/>
          <w:szCs w:val="24"/>
        </w:rPr>
        <w:t>We find six of the internal control categories listed in the database fall in the first group</w:t>
      </w:r>
      <w:r w:rsidR="002F57C3" w:rsidRPr="008B39E1">
        <w:rPr>
          <w:rFonts w:ascii="Times New Roman" w:hAnsi="Times New Roman" w:cs="Times New Roman"/>
          <w:sz w:val="24"/>
          <w:szCs w:val="24"/>
        </w:rPr>
        <w:t xml:space="preserve">: ineffective, non-existent or understaffed audit committee, senior management competency, tone, reliability issues, ethical or compliance issues with personnel, acquisition, merger, disposal or reorganization issues, segregations of duties/design of controls (personnel), and accounting </w:t>
      </w:r>
      <w:r w:rsidR="002F57C3" w:rsidRPr="008B39E1">
        <w:rPr>
          <w:rFonts w:ascii="Times New Roman" w:hAnsi="Times New Roman" w:cs="Times New Roman"/>
          <w:sz w:val="24"/>
          <w:szCs w:val="24"/>
        </w:rPr>
        <w:lastRenderedPageBreak/>
        <w:t>personnel resources, competency/training.</w:t>
      </w:r>
      <w:r w:rsidR="00D147A1" w:rsidRPr="008B39E1">
        <w:rPr>
          <w:rStyle w:val="FootnoteReference"/>
          <w:rFonts w:ascii="Times New Roman" w:hAnsi="Times New Roman" w:cs="Times New Roman"/>
          <w:sz w:val="24"/>
          <w:szCs w:val="24"/>
        </w:rPr>
        <w:footnoteReference w:id="18"/>
      </w:r>
      <w:r w:rsidRPr="008B39E1">
        <w:rPr>
          <w:rFonts w:ascii="Times New Roman" w:hAnsi="Times New Roman" w:cs="Times New Roman"/>
          <w:sz w:val="24"/>
          <w:szCs w:val="24"/>
        </w:rPr>
        <w:t xml:space="preserve"> All other </w:t>
      </w:r>
      <w:r w:rsidR="00684074" w:rsidRPr="008B39E1">
        <w:rPr>
          <w:rFonts w:ascii="Times New Roman" w:hAnsi="Times New Roman" w:cs="Times New Roman"/>
          <w:sz w:val="24"/>
          <w:szCs w:val="24"/>
        </w:rPr>
        <w:t xml:space="preserve">internal control issues listed in </w:t>
      </w:r>
      <w:r w:rsidRPr="008B39E1">
        <w:rPr>
          <w:rFonts w:ascii="Times New Roman" w:hAnsi="Times New Roman" w:cs="Times New Roman"/>
          <w:sz w:val="24"/>
          <w:szCs w:val="24"/>
        </w:rPr>
        <w:t xml:space="preserve">Audit Analytics fall in the second group. </w:t>
      </w:r>
      <w:r w:rsidR="00684074" w:rsidRPr="008B39E1">
        <w:rPr>
          <w:rFonts w:ascii="Times New Roman" w:hAnsi="Times New Roman" w:cs="Times New Roman"/>
          <w:sz w:val="24"/>
          <w:szCs w:val="24"/>
        </w:rPr>
        <w:t xml:space="preserve">Such </w:t>
      </w:r>
      <w:r w:rsidRPr="008B39E1">
        <w:rPr>
          <w:rFonts w:ascii="Times New Roman" w:hAnsi="Times New Roman" w:cs="Times New Roman"/>
          <w:sz w:val="24"/>
          <w:szCs w:val="24"/>
        </w:rPr>
        <w:t xml:space="preserve">controls </w:t>
      </w:r>
      <w:r w:rsidR="00684074" w:rsidRPr="008B39E1">
        <w:rPr>
          <w:rFonts w:ascii="Times New Roman" w:hAnsi="Times New Roman" w:cs="Times New Roman"/>
          <w:sz w:val="24"/>
          <w:szCs w:val="24"/>
        </w:rPr>
        <w:t xml:space="preserve">relate, for example, to </w:t>
      </w:r>
      <w:r w:rsidRPr="008B39E1">
        <w:rPr>
          <w:rFonts w:ascii="Times New Roman" w:hAnsi="Times New Roman" w:cs="Times New Roman"/>
          <w:sz w:val="24"/>
          <w:szCs w:val="24"/>
        </w:rPr>
        <w:t>the appropriate accounting treatment of various transactions</w:t>
      </w:r>
      <w:r w:rsidR="001422BF" w:rsidRPr="008B39E1">
        <w:rPr>
          <w:rFonts w:ascii="Times New Roman" w:hAnsi="Times New Roman" w:cs="Times New Roman"/>
          <w:sz w:val="24"/>
          <w:szCs w:val="24"/>
        </w:rPr>
        <w:t xml:space="preserve">, reconciliation of account balances, </w:t>
      </w:r>
      <w:r w:rsidR="007532E3" w:rsidRPr="008B39E1">
        <w:rPr>
          <w:rFonts w:ascii="Times New Roman" w:hAnsi="Times New Roman" w:cs="Times New Roman"/>
          <w:sz w:val="24"/>
          <w:szCs w:val="24"/>
        </w:rPr>
        <w:t>investigation of exceptions and errors,</w:t>
      </w:r>
      <w:r w:rsidRPr="008B39E1">
        <w:rPr>
          <w:rFonts w:ascii="Times New Roman" w:hAnsi="Times New Roman" w:cs="Times New Roman"/>
          <w:sz w:val="24"/>
          <w:szCs w:val="24"/>
        </w:rPr>
        <w:t xml:space="preserve"> and timeliness and completeness of financial reporting.  </w:t>
      </w:r>
    </w:p>
    <w:p w14:paraId="0B5FFEF5" w14:textId="37402FB0" w:rsidR="00452505" w:rsidRPr="008B39E1" w:rsidRDefault="00452505" w:rsidP="00981B19">
      <w:pPr>
        <w:spacing w:after="0" w:line="480" w:lineRule="auto"/>
        <w:rPr>
          <w:rFonts w:ascii="Times New Roman" w:hAnsi="Times New Roman" w:cs="Times New Roman"/>
          <w:b/>
          <w:bCs/>
          <w:sz w:val="24"/>
          <w:szCs w:val="24"/>
        </w:rPr>
      </w:pPr>
      <w:r w:rsidRPr="008B39E1">
        <w:rPr>
          <w:rFonts w:ascii="Times New Roman" w:hAnsi="Times New Roman" w:cs="Times New Roman"/>
          <w:b/>
          <w:bCs/>
          <w:sz w:val="24"/>
          <w:szCs w:val="24"/>
        </w:rPr>
        <w:t>Empirical Models</w:t>
      </w:r>
    </w:p>
    <w:p w14:paraId="7CC4AED4" w14:textId="77777777" w:rsidR="00452505" w:rsidRPr="008B39E1" w:rsidRDefault="00452505"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We start our empirical tests with a base linear probability model (LPM):</w:t>
      </w:r>
    </w:p>
    <w:p w14:paraId="46AAA9DB" w14:textId="54EEDCA4" w:rsidR="009B65D0" w:rsidRDefault="00000000" w:rsidP="009B65D0">
      <w:pPr>
        <w:spacing w:after="0" w:line="240" w:lineRule="auto"/>
        <w:ind w:left="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ICINEFF</m:t>
            </m:r>
          </m:e>
          <m:sub>
            <m:r>
              <w:rPr>
                <w:rFonts w:ascii="Cambria Math" w:hAnsi="Cambria Math" w:cs="Times New Roman"/>
                <w:sz w:val="24"/>
                <w:szCs w:val="24"/>
              </w:rPr>
              <m:t>i, t</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POSTxRELOCATE</m:t>
            </m:r>
          </m:e>
          <m:sub>
            <m:r>
              <w:rPr>
                <w:rFonts w:ascii="Cambria Math" w:hAnsi="Cambria Math" w:cs="Times New Roman"/>
                <w:sz w:val="24"/>
                <w:szCs w:val="24"/>
              </w:rPr>
              <m:t>i, t</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2</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RELOCATE</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3</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NO_PENSION</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4</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RESTRUCTURE</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5</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SIZE</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6</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ROA</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7</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LOSS</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8</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BM</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9</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LEVDBT</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10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CFO</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11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BIG4</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12</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INV</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13</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REC</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+Year FE+Industry FE+</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Cambria Math" w:cs="Times New Roman"/>
                <w:sz w:val="24"/>
                <w:szCs w:val="24"/>
              </w:rPr>
              <m:t>i, t</m:t>
            </m:r>
          </m:sub>
        </m:sSub>
        <m:r>
          <w:rPr>
            <w:rFonts w:ascii="Cambria Math" w:eastAsiaTheme="minorEastAsia" w:hAnsi="Cambria Math" w:cs="Times New Roman"/>
            <w:sz w:val="24"/>
            <w:szCs w:val="24"/>
          </w:rPr>
          <m:t xml:space="preserve">     </m:t>
        </m:r>
      </m:oMath>
      <w:r w:rsidR="00452505" w:rsidRPr="008B39E1">
        <w:rPr>
          <w:rFonts w:ascii="Times New Roman" w:hAnsi="Times New Roman" w:cs="Times New Roman"/>
          <w:sz w:val="24"/>
          <w:szCs w:val="24"/>
        </w:rPr>
        <w:t>(1)</w:t>
      </w:r>
    </w:p>
    <w:p w14:paraId="3327A08B" w14:textId="77777777" w:rsidR="009B65D0" w:rsidRPr="009B65D0" w:rsidRDefault="009B65D0" w:rsidP="009B65D0">
      <w:pPr>
        <w:spacing w:after="0" w:line="240" w:lineRule="auto"/>
        <w:ind w:left="720"/>
        <w:rPr>
          <w:rFonts w:ascii="Times New Roman" w:hAnsi="Times New Roman" w:cs="Times New Roman"/>
          <w:sz w:val="24"/>
          <w:szCs w:val="24"/>
        </w:rPr>
      </w:pPr>
    </w:p>
    <w:p w14:paraId="115046ED" w14:textId="2669DF5D" w:rsidR="00A37733" w:rsidRPr="008B39E1" w:rsidRDefault="007F56A3" w:rsidP="00981B19">
      <w:pPr>
        <w:spacing w:after="0" w:line="480" w:lineRule="auto"/>
        <w:rPr>
          <w:rFonts w:ascii="Times New Roman" w:hAnsi="Times New Roman" w:cs="Times New Roman"/>
          <w:sz w:val="24"/>
          <w:szCs w:val="24"/>
        </w:rPr>
      </w:pPr>
      <w:proofErr w:type="spellStart"/>
      <w:r w:rsidRPr="008B39E1">
        <w:rPr>
          <w:rFonts w:ascii="Times New Roman" w:hAnsi="Times New Roman" w:cs="Times New Roman"/>
          <w:i/>
          <w:iCs/>
          <w:sz w:val="24"/>
          <w:szCs w:val="24"/>
        </w:rPr>
        <w:t>ICINEFF</w:t>
      </w:r>
      <w:proofErr w:type="spellEnd"/>
      <w:r w:rsidR="00F60655" w:rsidRPr="008B39E1">
        <w:rPr>
          <w:rFonts w:ascii="Times New Roman" w:hAnsi="Times New Roman" w:cs="Times New Roman"/>
          <w:i/>
          <w:iCs/>
          <w:sz w:val="24"/>
          <w:szCs w:val="24"/>
        </w:rPr>
        <w:t xml:space="preserve"> </w:t>
      </w:r>
      <w:r w:rsidR="00F60655" w:rsidRPr="008B39E1">
        <w:rPr>
          <w:rFonts w:ascii="Times New Roman" w:hAnsi="Times New Roman" w:cs="Times New Roman"/>
          <w:sz w:val="24"/>
          <w:szCs w:val="24"/>
        </w:rPr>
        <w:t>(internal control ineffectiveness)</w:t>
      </w:r>
      <w:r w:rsidRPr="008B39E1">
        <w:rPr>
          <w:rFonts w:ascii="Times New Roman" w:hAnsi="Times New Roman" w:cs="Times New Roman"/>
          <w:i/>
          <w:iCs/>
          <w:sz w:val="24"/>
          <w:szCs w:val="24"/>
        </w:rPr>
        <w:t xml:space="preserve"> </w:t>
      </w:r>
      <w:r w:rsidR="00452505" w:rsidRPr="008B39E1">
        <w:rPr>
          <w:rFonts w:ascii="Times New Roman" w:hAnsi="Times New Roman" w:cs="Times New Roman"/>
          <w:sz w:val="24"/>
          <w:szCs w:val="24"/>
        </w:rPr>
        <w:t xml:space="preserve">is an indicator variable that equals 1 if the firm reports </w:t>
      </w:r>
      <w:r w:rsidR="00FB4E21" w:rsidRPr="008B39E1">
        <w:rPr>
          <w:rFonts w:ascii="Times New Roman" w:hAnsi="Times New Roman" w:cs="Times New Roman"/>
          <w:sz w:val="24"/>
          <w:szCs w:val="24"/>
        </w:rPr>
        <w:t>one or more</w:t>
      </w:r>
      <w:r w:rsidR="00452505" w:rsidRPr="008B39E1">
        <w:rPr>
          <w:rFonts w:ascii="Times New Roman" w:hAnsi="Times New Roman" w:cs="Times New Roman"/>
          <w:sz w:val="24"/>
          <w:szCs w:val="24"/>
        </w:rPr>
        <w:t xml:space="preserve"> </w:t>
      </w:r>
      <w:r w:rsidR="00F60655" w:rsidRPr="008B39E1">
        <w:rPr>
          <w:rFonts w:ascii="Times New Roman" w:hAnsi="Times New Roman" w:cs="Times New Roman"/>
          <w:sz w:val="24"/>
          <w:szCs w:val="24"/>
        </w:rPr>
        <w:t>“</w:t>
      </w:r>
      <w:r w:rsidR="00452505" w:rsidRPr="008B39E1">
        <w:rPr>
          <w:rFonts w:ascii="Times New Roman" w:hAnsi="Times New Roman" w:cs="Times New Roman"/>
          <w:sz w:val="24"/>
          <w:szCs w:val="24"/>
        </w:rPr>
        <w:t>internal control material weakness</w:t>
      </w:r>
      <w:r w:rsidR="00F60655" w:rsidRPr="008B39E1">
        <w:rPr>
          <w:rFonts w:ascii="Times New Roman" w:hAnsi="Times New Roman" w:cs="Times New Roman"/>
          <w:sz w:val="24"/>
          <w:szCs w:val="24"/>
        </w:rPr>
        <w:t xml:space="preserve">” as detected by its </w:t>
      </w:r>
      <w:r w:rsidR="00186E34" w:rsidRPr="008B39E1">
        <w:rPr>
          <w:rFonts w:ascii="Times New Roman" w:hAnsi="Times New Roman" w:cs="Times New Roman"/>
          <w:sz w:val="24"/>
          <w:szCs w:val="24"/>
        </w:rPr>
        <w:t>auditor for</w:t>
      </w:r>
      <w:r w:rsidR="00452505" w:rsidRPr="008B39E1">
        <w:rPr>
          <w:rFonts w:ascii="Times New Roman" w:hAnsi="Times New Roman" w:cs="Times New Roman"/>
          <w:sz w:val="24"/>
          <w:szCs w:val="24"/>
        </w:rPr>
        <w:t xml:space="preserve"> the fiscal year</w:t>
      </w:r>
      <w:r w:rsidR="005F447C" w:rsidRPr="008B39E1">
        <w:rPr>
          <w:rFonts w:ascii="Times New Roman" w:hAnsi="Times New Roman" w:cs="Times New Roman"/>
          <w:sz w:val="24"/>
          <w:szCs w:val="24"/>
        </w:rPr>
        <w:t xml:space="preserve"> </w:t>
      </w:r>
      <w:r w:rsidR="005F447C" w:rsidRPr="008B39E1">
        <w:rPr>
          <w:rFonts w:ascii="Times New Roman" w:hAnsi="Times New Roman" w:cs="Times New Roman"/>
          <w:i/>
          <w:iCs/>
          <w:sz w:val="24"/>
          <w:szCs w:val="24"/>
        </w:rPr>
        <w:t>t</w:t>
      </w:r>
      <w:r w:rsidRPr="008B39E1">
        <w:rPr>
          <w:rFonts w:ascii="Times New Roman" w:hAnsi="Times New Roman" w:cs="Times New Roman"/>
          <w:sz w:val="24"/>
          <w:szCs w:val="24"/>
        </w:rPr>
        <w:t>, and 0 otherwise</w:t>
      </w:r>
      <w:r w:rsidR="00452505" w:rsidRPr="008B39E1">
        <w:rPr>
          <w:rFonts w:ascii="Times New Roman" w:hAnsi="Times New Roman" w:cs="Times New Roman"/>
          <w:sz w:val="24"/>
          <w:szCs w:val="24"/>
        </w:rPr>
        <w:t>.</w:t>
      </w:r>
      <w:r w:rsidR="00933998" w:rsidRPr="008B39E1">
        <w:rPr>
          <w:rFonts w:ascii="Times New Roman" w:hAnsi="Times New Roman" w:cs="Times New Roman"/>
          <w:sz w:val="24"/>
          <w:szCs w:val="24"/>
        </w:rPr>
        <w:t xml:space="preserve"> </w:t>
      </w:r>
      <w:r w:rsidR="0058344C" w:rsidRPr="008B39E1">
        <w:rPr>
          <w:rFonts w:ascii="Times New Roman" w:hAnsi="Times New Roman" w:cs="Times New Roman"/>
          <w:i/>
          <w:iCs/>
          <w:sz w:val="24"/>
          <w:szCs w:val="24"/>
        </w:rPr>
        <w:t xml:space="preserve">POST </w:t>
      </w:r>
      <w:r w:rsidR="00660BA6" w:rsidRPr="008B39E1">
        <w:rPr>
          <w:rFonts w:ascii="Times New Roman" w:hAnsi="Times New Roman" w:cs="Times New Roman"/>
          <w:sz w:val="24"/>
          <w:szCs w:val="24"/>
        </w:rPr>
        <w:t xml:space="preserve">is an indicator variable that takes the value of 1 in the year of relocation, and </w:t>
      </w:r>
      <w:r w:rsidR="0058344C" w:rsidRPr="008B39E1">
        <w:rPr>
          <w:rFonts w:ascii="Times New Roman" w:hAnsi="Times New Roman" w:cs="Times New Roman"/>
          <w:sz w:val="24"/>
          <w:szCs w:val="24"/>
        </w:rPr>
        <w:t>0</w:t>
      </w:r>
      <w:r w:rsidR="00660BA6" w:rsidRPr="008B39E1">
        <w:rPr>
          <w:rFonts w:ascii="Times New Roman" w:hAnsi="Times New Roman" w:cs="Times New Roman"/>
          <w:sz w:val="24"/>
          <w:szCs w:val="24"/>
        </w:rPr>
        <w:t xml:space="preserve"> in the year before relocation.</w:t>
      </w:r>
      <w:r w:rsidR="00FA2EA7" w:rsidRPr="008B39E1">
        <w:rPr>
          <w:rFonts w:ascii="Times New Roman" w:hAnsi="Times New Roman" w:cs="Times New Roman"/>
          <w:sz w:val="24"/>
          <w:szCs w:val="24"/>
        </w:rPr>
        <w:t xml:space="preserve"> </w:t>
      </w:r>
      <w:r w:rsidR="00D147A1" w:rsidRPr="008B39E1">
        <w:rPr>
          <w:rFonts w:ascii="Times New Roman" w:hAnsi="Times New Roman" w:cs="Times New Roman"/>
          <w:i/>
          <w:iCs/>
          <w:sz w:val="24"/>
          <w:szCs w:val="24"/>
        </w:rPr>
        <w:t>RELOCATE</w:t>
      </w:r>
      <w:r w:rsidR="00FA2EA7" w:rsidRPr="008B39E1">
        <w:rPr>
          <w:rFonts w:ascii="Times New Roman" w:hAnsi="Times New Roman" w:cs="Times New Roman"/>
          <w:sz w:val="24"/>
          <w:szCs w:val="24"/>
        </w:rPr>
        <w:t xml:space="preserve"> is an indicator variable that takes the value of 1 </w:t>
      </w:r>
      <w:r w:rsidR="00C30BA1" w:rsidRPr="008B39E1">
        <w:rPr>
          <w:rFonts w:ascii="Times New Roman" w:hAnsi="Times New Roman" w:cs="Times New Roman"/>
          <w:sz w:val="24"/>
          <w:szCs w:val="24"/>
        </w:rPr>
        <w:t xml:space="preserve">if firm </w:t>
      </w:r>
      <w:proofErr w:type="spellStart"/>
      <w:r w:rsidR="00C30BA1" w:rsidRPr="008B39E1">
        <w:rPr>
          <w:rFonts w:ascii="Times New Roman" w:hAnsi="Times New Roman" w:cs="Times New Roman"/>
          <w:i/>
          <w:iCs/>
          <w:sz w:val="24"/>
          <w:szCs w:val="24"/>
        </w:rPr>
        <w:t>i</w:t>
      </w:r>
      <w:proofErr w:type="spellEnd"/>
      <w:r w:rsidR="00C30BA1" w:rsidRPr="008B39E1">
        <w:rPr>
          <w:rFonts w:ascii="Times New Roman" w:hAnsi="Times New Roman" w:cs="Times New Roman"/>
          <w:i/>
          <w:iCs/>
          <w:sz w:val="24"/>
          <w:szCs w:val="24"/>
        </w:rPr>
        <w:t xml:space="preserve"> </w:t>
      </w:r>
      <w:r w:rsidR="00C30BA1" w:rsidRPr="008B39E1">
        <w:rPr>
          <w:rFonts w:ascii="Times New Roman" w:hAnsi="Times New Roman" w:cs="Times New Roman"/>
          <w:sz w:val="24"/>
          <w:szCs w:val="24"/>
        </w:rPr>
        <w:t>relocated, and 0 otherwise.</w:t>
      </w:r>
      <w:r w:rsidR="00D83A2C" w:rsidRPr="008B39E1">
        <w:rPr>
          <w:rFonts w:ascii="Times New Roman" w:hAnsi="Times New Roman" w:cs="Times New Roman"/>
          <w:sz w:val="24"/>
          <w:szCs w:val="24"/>
        </w:rPr>
        <w:t xml:space="preserve"> </w:t>
      </w:r>
      <w:r w:rsidR="00A37733" w:rsidRPr="008B39E1">
        <w:rPr>
          <w:rFonts w:ascii="Times New Roman" w:hAnsi="Times New Roman" w:cs="Times New Roman"/>
          <w:sz w:val="24"/>
          <w:szCs w:val="24"/>
        </w:rPr>
        <w:t xml:space="preserve">The coefficient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oMath>
      <w:r w:rsidR="00A37733" w:rsidRPr="008B39E1">
        <w:rPr>
          <w:rFonts w:ascii="Times New Roman" w:hAnsi="Times New Roman" w:cs="Times New Roman"/>
          <w:sz w:val="24"/>
          <w:szCs w:val="24"/>
        </w:rPr>
        <w:t xml:space="preserve"> captures the change in the likelihood of </w:t>
      </w:r>
      <w:proofErr w:type="spellStart"/>
      <w:r w:rsidR="00A37733" w:rsidRPr="008B39E1">
        <w:rPr>
          <w:rFonts w:ascii="Times New Roman" w:hAnsi="Times New Roman" w:cs="Times New Roman"/>
          <w:i/>
          <w:iCs/>
          <w:sz w:val="24"/>
          <w:szCs w:val="24"/>
        </w:rPr>
        <w:t>ICINEFF</w:t>
      </w:r>
      <w:proofErr w:type="spellEnd"/>
      <w:r w:rsidR="00A37733" w:rsidRPr="008B39E1">
        <w:rPr>
          <w:rFonts w:ascii="Times New Roman" w:hAnsi="Times New Roman" w:cs="Times New Roman"/>
          <w:sz w:val="24"/>
          <w:szCs w:val="24"/>
        </w:rPr>
        <w:t xml:space="preserve"> from th</w:t>
      </w:r>
      <w:r w:rsidR="005401FB" w:rsidRPr="008B39E1">
        <w:rPr>
          <w:rFonts w:ascii="Times New Roman" w:hAnsi="Times New Roman" w:cs="Times New Roman"/>
          <w:sz w:val="24"/>
          <w:szCs w:val="24"/>
        </w:rPr>
        <w:t>e</w:t>
      </w:r>
      <w:r w:rsidR="00A37733" w:rsidRPr="008B39E1">
        <w:rPr>
          <w:rFonts w:ascii="Times New Roman" w:hAnsi="Times New Roman" w:cs="Times New Roman"/>
          <w:sz w:val="24"/>
          <w:szCs w:val="24"/>
        </w:rPr>
        <w:t xml:space="preserve"> pre- to post-relocation period for relocating firms compared with the change for non-relocating firms over the same period. A positive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oMath>
      <w:r w:rsidR="00A37733" w:rsidRPr="008B39E1">
        <w:rPr>
          <w:rFonts w:ascii="Times New Roman" w:eastAsiaTheme="minorEastAsia" w:hAnsi="Times New Roman" w:cs="Times New Roman"/>
          <w:sz w:val="24"/>
          <w:szCs w:val="24"/>
        </w:rPr>
        <w:t xml:space="preserve"> coefficient would indicate that relocation resulted in an increase in internal control ineffectiveness. </w:t>
      </w:r>
    </w:p>
    <w:p w14:paraId="57A9402D" w14:textId="236D6EBD" w:rsidR="00C51E88" w:rsidRPr="008B39E1" w:rsidRDefault="00CC2FCF" w:rsidP="00981B19">
      <w:pPr>
        <w:widowControl w:val="0"/>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To examine RQ2, we replace </w:t>
      </w:r>
      <w:r w:rsidRPr="008B39E1">
        <w:rPr>
          <w:rFonts w:ascii="Times New Roman" w:hAnsi="Times New Roman" w:cs="Times New Roman"/>
          <w:i/>
          <w:iCs/>
          <w:sz w:val="24"/>
          <w:szCs w:val="24"/>
        </w:rPr>
        <w:t>POST*</w:t>
      </w:r>
      <w:r w:rsidR="00D147A1" w:rsidRPr="008B39E1">
        <w:rPr>
          <w:rFonts w:ascii="Times New Roman" w:hAnsi="Times New Roman" w:cs="Times New Roman"/>
          <w:i/>
          <w:iCs/>
          <w:sz w:val="24"/>
          <w:szCs w:val="24"/>
        </w:rPr>
        <w:t>RELOCATE</w:t>
      </w:r>
      <w:r w:rsidRPr="008B39E1">
        <w:rPr>
          <w:rFonts w:ascii="Times New Roman" w:hAnsi="Times New Roman" w:cs="Times New Roman"/>
          <w:sz w:val="24"/>
          <w:szCs w:val="24"/>
        </w:rPr>
        <w:t xml:space="preserve"> </w:t>
      </w:r>
      <w:r w:rsidR="00326B83" w:rsidRPr="008B39E1">
        <w:rPr>
          <w:rFonts w:ascii="Times New Roman" w:hAnsi="Times New Roman" w:cs="Times New Roman"/>
          <w:sz w:val="24"/>
          <w:szCs w:val="24"/>
        </w:rPr>
        <w:t xml:space="preserve">from Eq. (1) </w:t>
      </w:r>
      <w:r w:rsidRPr="008B39E1">
        <w:rPr>
          <w:rFonts w:ascii="Times New Roman" w:hAnsi="Times New Roman" w:cs="Times New Roman"/>
          <w:sz w:val="24"/>
          <w:szCs w:val="24"/>
        </w:rPr>
        <w:t xml:space="preserve">with two variables </w:t>
      </w:r>
      <w:r w:rsidRPr="008B39E1">
        <w:rPr>
          <w:rFonts w:ascii="Times New Roman" w:hAnsi="Times New Roman" w:cs="Times New Roman"/>
          <w:i/>
          <w:iCs/>
          <w:sz w:val="24"/>
          <w:szCs w:val="24"/>
        </w:rPr>
        <w:t>POST*</w:t>
      </w:r>
      <w:r w:rsidR="00BD2C56" w:rsidRPr="008B39E1">
        <w:rPr>
          <w:rFonts w:ascii="Times New Roman" w:hAnsi="Times New Roman" w:cs="Times New Roman"/>
          <w:i/>
          <w:iCs/>
          <w:sz w:val="24"/>
          <w:szCs w:val="24"/>
        </w:rPr>
        <w:t>RELOCATE</w:t>
      </w:r>
      <w:r w:rsidRPr="008B39E1">
        <w:rPr>
          <w:rFonts w:ascii="Times New Roman" w:hAnsi="Times New Roman" w:cs="Times New Roman"/>
          <w:i/>
          <w:iCs/>
          <w:sz w:val="24"/>
          <w:szCs w:val="24"/>
        </w:rPr>
        <w:t>*</w:t>
      </w:r>
      <w:proofErr w:type="spellStart"/>
      <w:r w:rsidRPr="008B39E1">
        <w:rPr>
          <w:rFonts w:ascii="Times New Roman" w:hAnsi="Times New Roman" w:cs="Times New Roman"/>
          <w:i/>
          <w:iCs/>
          <w:sz w:val="24"/>
          <w:szCs w:val="24"/>
        </w:rPr>
        <w:t>CHSC</w:t>
      </w:r>
      <w:proofErr w:type="spellEnd"/>
      <w:r w:rsidRPr="008B39E1">
        <w:rPr>
          <w:rFonts w:ascii="Times New Roman" w:hAnsi="Times New Roman" w:cs="Times New Roman"/>
          <w:sz w:val="24"/>
          <w:szCs w:val="24"/>
        </w:rPr>
        <w:t xml:space="preserve"> and </w:t>
      </w:r>
      <w:r w:rsidRPr="008B39E1">
        <w:rPr>
          <w:rFonts w:ascii="Times New Roman" w:hAnsi="Times New Roman" w:cs="Times New Roman"/>
          <w:i/>
          <w:iCs/>
          <w:sz w:val="24"/>
          <w:szCs w:val="24"/>
        </w:rPr>
        <w:t>POST*</w:t>
      </w:r>
      <w:r w:rsidR="00D147A1" w:rsidRPr="008B39E1">
        <w:rPr>
          <w:rFonts w:ascii="Times New Roman" w:hAnsi="Times New Roman" w:cs="Times New Roman"/>
          <w:i/>
          <w:iCs/>
          <w:sz w:val="24"/>
          <w:szCs w:val="24"/>
        </w:rPr>
        <w:t>RELOCATE</w:t>
      </w:r>
      <w:r w:rsidRPr="008B39E1">
        <w:rPr>
          <w:rFonts w:ascii="Times New Roman" w:hAnsi="Times New Roman" w:cs="Times New Roman"/>
          <w:i/>
          <w:iCs/>
          <w:sz w:val="24"/>
          <w:szCs w:val="24"/>
        </w:rPr>
        <w:t>*</w:t>
      </w:r>
      <w:proofErr w:type="spellStart"/>
      <w:r w:rsidRPr="008B39E1">
        <w:rPr>
          <w:rFonts w:ascii="Times New Roman" w:hAnsi="Times New Roman" w:cs="Times New Roman"/>
          <w:i/>
          <w:iCs/>
          <w:sz w:val="24"/>
          <w:szCs w:val="24"/>
        </w:rPr>
        <w:t>NO</w:t>
      </w:r>
      <w:r w:rsidR="00C22AB7" w:rsidRPr="008B39E1">
        <w:rPr>
          <w:rFonts w:ascii="Times New Roman" w:hAnsi="Times New Roman" w:cs="Times New Roman"/>
          <w:i/>
          <w:iCs/>
          <w:sz w:val="24"/>
          <w:szCs w:val="24"/>
        </w:rPr>
        <w:t>_CHSC</w:t>
      </w:r>
      <w:proofErr w:type="spellEnd"/>
      <w:r w:rsidRPr="008B39E1">
        <w:rPr>
          <w:rFonts w:ascii="Times New Roman" w:hAnsi="Times New Roman" w:cs="Times New Roman"/>
          <w:sz w:val="24"/>
          <w:szCs w:val="24"/>
        </w:rPr>
        <w:t>.</w:t>
      </w:r>
      <w:r w:rsidR="003B176E" w:rsidRPr="008B39E1">
        <w:rPr>
          <w:rFonts w:ascii="Times New Roman" w:hAnsi="Times New Roman" w:cs="Times New Roman"/>
          <w:sz w:val="24"/>
          <w:szCs w:val="24"/>
        </w:rPr>
        <w:t xml:space="preserve"> </w:t>
      </w:r>
      <w:r w:rsidR="00326B83" w:rsidRPr="008B39E1">
        <w:rPr>
          <w:rFonts w:ascii="Times New Roman" w:hAnsi="Times New Roman" w:cs="Times New Roman"/>
          <w:sz w:val="24"/>
          <w:szCs w:val="24"/>
        </w:rPr>
        <w:t xml:space="preserve">RQ3 explores </w:t>
      </w:r>
      <w:r w:rsidR="00F3609F" w:rsidRPr="008B39E1">
        <w:rPr>
          <w:rFonts w:ascii="Times New Roman" w:hAnsi="Times New Roman" w:cs="Times New Roman"/>
          <w:sz w:val="24"/>
          <w:szCs w:val="24"/>
        </w:rPr>
        <w:t xml:space="preserve">whether the change in </w:t>
      </w:r>
      <w:proofErr w:type="spellStart"/>
      <w:r w:rsidR="00F3609F" w:rsidRPr="008B39E1">
        <w:rPr>
          <w:rFonts w:ascii="Times New Roman" w:hAnsi="Times New Roman" w:cs="Times New Roman"/>
          <w:i/>
          <w:iCs/>
          <w:sz w:val="24"/>
          <w:szCs w:val="24"/>
        </w:rPr>
        <w:t>ICINEFF</w:t>
      </w:r>
      <w:proofErr w:type="spellEnd"/>
      <w:r w:rsidR="00F3609F" w:rsidRPr="008B39E1">
        <w:rPr>
          <w:rFonts w:ascii="Times New Roman" w:hAnsi="Times New Roman" w:cs="Times New Roman"/>
          <w:sz w:val="24"/>
          <w:szCs w:val="24"/>
        </w:rPr>
        <w:t xml:space="preserve"> differs across internal control</w:t>
      </w:r>
      <w:r w:rsidR="003C41B9" w:rsidRPr="008B39E1">
        <w:rPr>
          <w:rFonts w:ascii="Times New Roman" w:hAnsi="Times New Roman" w:cs="Times New Roman"/>
          <w:sz w:val="24"/>
          <w:szCs w:val="24"/>
        </w:rPr>
        <w:t xml:space="preserve">s that are </w:t>
      </w:r>
      <w:proofErr w:type="gramStart"/>
      <w:r w:rsidR="003C41B9" w:rsidRPr="008B39E1">
        <w:rPr>
          <w:rFonts w:ascii="Times New Roman" w:hAnsi="Times New Roman" w:cs="Times New Roman"/>
          <w:sz w:val="24"/>
          <w:szCs w:val="24"/>
        </w:rPr>
        <w:t>more or less vulnerable</w:t>
      </w:r>
      <w:proofErr w:type="gramEnd"/>
      <w:r w:rsidR="003C41B9" w:rsidRPr="008B39E1">
        <w:rPr>
          <w:rFonts w:ascii="Times New Roman" w:hAnsi="Times New Roman" w:cs="Times New Roman"/>
          <w:sz w:val="24"/>
          <w:szCs w:val="24"/>
        </w:rPr>
        <w:t xml:space="preserve"> to employee disruption. We separate the sample into groups with the two types of internal control weaknesses </w:t>
      </w:r>
      <w:r w:rsidR="003C41B9" w:rsidRPr="008B39E1">
        <w:rPr>
          <w:rFonts w:ascii="Times New Roman" w:hAnsi="Times New Roman" w:cs="Times New Roman"/>
          <w:sz w:val="24"/>
          <w:szCs w:val="24"/>
        </w:rPr>
        <w:lastRenderedPageBreak/>
        <w:t>and estimate model (1) separately for each group</w:t>
      </w:r>
      <w:r w:rsidR="009712F4" w:rsidRPr="008B39E1">
        <w:rPr>
          <w:rFonts w:ascii="Times New Roman" w:hAnsi="Times New Roman" w:cs="Times New Roman"/>
          <w:sz w:val="24"/>
          <w:szCs w:val="24"/>
        </w:rPr>
        <w:t xml:space="preserve">. </w:t>
      </w:r>
      <w:r w:rsidR="00F3609F" w:rsidRPr="008B39E1">
        <w:rPr>
          <w:rFonts w:ascii="Times New Roman" w:hAnsi="Times New Roman" w:cs="Times New Roman"/>
          <w:sz w:val="24"/>
          <w:szCs w:val="24"/>
        </w:rPr>
        <w:t xml:space="preserve"> </w:t>
      </w:r>
    </w:p>
    <w:p w14:paraId="12756027" w14:textId="77777777" w:rsidR="00452505" w:rsidRPr="008B39E1" w:rsidRDefault="00452505" w:rsidP="00981B19">
      <w:pPr>
        <w:spacing w:after="0" w:line="480" w:lineRule="auto"/>
        <w:rPr>
          <w:rFonts w:ascii="Times New Roman" w:hAnsi="Times New Roman" w:cs="Times New Roman"/>
          <w:sz w:val="24"/>
          <w:szCs w:val="24"/>
        </w:rPr>
      </w:pPr>
      <w:r w:rsidRPr="008B39E1">
        <w:rPr>
          <w:rFonts w:ascii="Times New Roman" w:hAnsi="Times New Roman" w:cs="Times New Roman"/>
          <w:b/>
          <w:bCs/>
          <w:sz w:val="24"/>
          <w:szCs w:val="24"/>
        </w:rPr>
        <w:t>Control Variables</w:t>
      </w:r>
    </w:p>
    <w:p w14:paraId="3BF685CB" w14:textId="3F7E00A0" w:rsidR="00452505" w:rsidRPr="008B39E1" w:rsidRDefault="00452505"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Following prior literature, we control for several firm and auditor characteristics (e.g.,</w:t>
      </w:r>
      <w:r w:rsidR="007919F5" w:rsidRPr="008B39E1">
        <w:rPr>
          <w:rFonts w:ascii="Times New Roman" w:hAnsi="Times New Roman" w:cs="Times New Roman"/>
          <w:sz w:val="24"/>
          <w:szCs w:val="24"/>
        </w:rPr>
        <w:t xml:space="preserve"> </w:t>
      </w:r>
      <w:r w:rsidR="007919F5" w:rsidRPr="008B39E1">
        <w:rPr>
          <w:rFonts w:ascii="Times New Roman" w:hAnsi="Times New Roman" w:cs="Times New Roman"/>
          <w:sz w:val="24"/>
          <w:szCs w:val="24"/>
        </w:rPr>
        <w:fldChar w:fldCharType="begin" w:fldLock="1"/>
      </w:r>
      <w:r w:rsidR="00DE2899" w:rsidRPr="008B39E1">
        <w:rPr>
          <w:rFonts w:ascii="Times New Roman" w:hAnsi="Times New Roman" w:cs="Times New Roman"/>
          <w:sz w:val="24"/>
          <w:szCs w:val="24"/>
        </w:rPr>
        <w:instrText>ADDIN CSL_CITATION {"citationItems":[{"id":"ITEM-1","itemData":{"DOI":"10.2307/2490397","ISSN":"00218456","abstract":"The article refers to the Big Eight firms and competition in the audit industry with a focus on theory and practice in the pricing of services in the United States. The hypothesis that price competition exists in the market that audits publicly held companies is tested by a fee determination model where both parties--the auditor and auditee--are risk neutral and expect to maximize their own expected profits. Equations for profitability in competitive and noncompetitive markets, monopoly rent and pricing, maximin strategies, variations in assessed loss functions, and production functions are explained. Data includes the test for nonresponse bias and statistics for variables such as sales and from a correlation matrix of variables.","author":[{"dropping-particle":"","family":"Simunic","given":"D. A.","non-dropping-particle":"","parse-names":false,"suffix":""}],"container-title":"Journal of Accounting Research","id":"ITEM-1","issue":"1","issued":{"date-parts":[["1980"]]},"page":"161-190","title":"The Pricing of Audit Services: Theory and Evidence","type":"article-journal","volume":"18"},"uris":["http://www.mendeley.com/documents/?uuid=5040ddc2-ad11-49f5-83f2-038f67d77c02"]},{"id":"ITEM-2","itemData":{"DOI":"10.2308/accr-50450","ISSN":"00014826","abstract":"This paper investigates the effects on audit quality and audit fees of requiring the engagement partner to sign the audit report in the United Kingdom (U.K.). The effect of requiring the engagement partner to sign the audit report is timely since the Public Company Accounting Oversight Board (PCAOB) is considering mandating a similar requirement in the United States (U.S.). In the first year after the introduction of the signature requirement, we find a significant decline in abnormal accruals and the propensity to meet an earnings threshold, and we find a significant increase in the incidence of qualified audit reports and in earnings informativeness. In addition, audit fees are significantly higher in the post-signature period than in the pre-signature period. Moreover, we compare U.K. firms with a matched sample of U.S. firms and firms in other European countries in periods both before and after the U.K. adopted a signature requirement. Our results are generally consistent with the argument of improved audit quality in U.K. firms after the signature requirement is adopted.","author":[{"dropping-particle":"V.","family":"Carcello","given":"Joseph","non-dropping-particle":"","parse-names":false,"suffix":""},{"dropping-particle":"","family":"Li","given":"Chan","non-dropping-particle":"","parse-names":false,"suffix":""}],"container-title":"The Accounting Review","id":"ITEM-2","issue":"5","issued":{"date-parts":[["2013"]]},"page":"1511-1546","title":"Costs and benefits of requiring an engagement partner signature: Recent experience in the United Kingdom","type":"article-journal","volume":"88"},"uris":["http://www.mendeley.com/documents/?uuid=a9e6d1f1-a282-445a-a860-8fd8728efda9"]},{"id":"ITEM-3","itemData":{"DOI":"10.2308/accr-51269","ISSN":"00014826","abstract":"This study investigates the role of employment policies in reducing internal control ineffectiveness and financial restatements. We provide new evidence that employee treatment policies are an important predictor of ineffective internal control. We also find that employee-friendly policies significantly reduce the propensity for employee-related material weaknesses. These results suggest that greater employee benefits facilitate the acquisition, development, and motivation of the workforce and ameliorate the loss of valuable human capital, thereby mitigating employee failures to implement internal control tasks properly. Moreover, we document novel results that financial restatements, especially those caused by unintentional errors, are less likely to arise in firms that invest more in employee benefits. Collectively, our emphasis on the effect of employee treatment policies on the integrity of internal control and financial reporting distinguishes our paper from previous studies that focus on the role of top executives in accounting practices.","author":[{"dropping-particle":"","family":"Guo","given":"Jun","non-dropping-particle":"","parse-names":false,"suffix":""},{"dropping-particle":"","family":"Huang","given":"Pinghsun","non-dropping-particle":"","parse-names":false,"suffix":""},{"dropping-particle":"","family":"Zhang","given":"Yan","non-dropping-particle":"","parse-names":false,"suffix":""},{"dropping-particle":"","family":"Zhou","given":"Nan","non-dropping-particle":"","parse-names":false,"suffix":""}],"container-title":"The Accounting Review","id":"ITEM-3","issue":"4","issued":{"date-parts":[["2016"]]},"page":"1167-1194","title":"The effect of employee treatment policies on internal control weaknesses and financial restatements","type":"article-journal","volume":"91"},"uris":["http://www.mendeley.com/documents/?uuid=81993b2e-aab2-4f90-a166-4b5f8579539f"]},{"id":"ITEM-4","itemData":{"DOI":"10.2308/accr-52197","ISSN":"00014826","abstract":"The quality of financial statement (FS) audits integrated with audits of internal controls over financial reporting (ICFR) depends upon the quality of ICFR information used in, and its integration into, FS audits. Recent research and PCAOB inspections find auditors underreport existing ICFR weaknesses and perform insufficient testing to address identified risks, suggesting integrated audits—in which substantial ICFR testing is required—may result in lower FS audit quality than FS-only audits. We compare a 2007–2013 sample of small U.S. public company firm-years receiving integrated audits (accelerated filers) to firm-years receiving FS-only audits (non-accelerated filers) and find integrated audits are associated with higher likelihood of material misstatements and discretionary accruals, consistent with lower FS audit quality. We also find evidence of (1) auditor judgment-based integration issues, and (2) low-quality ICFR audits harming FS audit quality. Overall, results suggest an important potential consequence of integrated audits is lower FS audit quality.","author":[{"dropping-particle":"","family":"Bhaskar","given":"Lori Shefchik","non-dropping-particle":"","parse-names":false,"suffix":""},{"dropping-particle":"","family":"Schroeder","given":"Joseph H.","non-dropping-particle":"","parse-names":false,"suffix":""},{"dropping-particle":"","family":"Shepardson","given":"Marcy L.","non-dropping-particle":"","parse-names":false,"suffix":""}],"container-title":"The Accounting Review","id":"ITEM-4","issue":"2","issued":{"date-parts":[["2019"]]},"page":"53-81","title":"Integration of Internal Control and Financial Statement Audits: Are Two Audits Better than One?","type":"article-journal","volume":"94"},"uris":["http://www.mendeley.com/documents/?uuid=3db569cd-8200-4ebd-b479-a10b1d8eb5b5"]}],"mendeley":{"formattedCitation":"(Simunic 1980; Carcello and Li 2013; Guo et al. 2016; Bhaskar et al. 2019)","manualFormatting":"Simunic 1980; Carcello and Li 2013; Guo et al. 2016; Bhaskar, Schroeder, and Shepardson 2019)","plainTextFormattedCitation":"(Simunic 1980; Carcello and Li 2013; Guo et al. 2016; Bhaskar et al. 2019)","previouslyFormattedCitation":"(Simunic 1980; Carcello and Li 2013; Guo et al. 2016; Bhaskar et al. 2019)"},"properties":{"noteIndex":0},"schema":"https://github.com/citation-style-language/schema/raw/master/csl-citation.json"}</w:instrText>
      </w:r>
      <w:r w:rsidR="007919F5" w:rsidRPr="008B39E1">
        <w:rPr>
          <w:rFonts w:ascii="Times New Roman" w:hAnsi="Times New Roman" w:cs="Times New Roman"/>
          <w:sz w:val="24"/>
          <w:szCs w:val="24"/>
        </w:rPr>
        <w:fldChar w:fldCharType="separate"/>
      </w:r>
      <w:r w:rsidR="007919F5" w:rsidRPr="008B39E1">
        <w:rPr>
          <w:rFonts w:ascii="Times New Roman" w:hAnsi="Times New Roman" w:cs="Times New Roman"/>
          <w:noProof/>
          <w:sz w:val="24"/>
          <w:szCs w:val="24"/>
        </w:rPr>
        <w:t>Simunic</w:t>
      </w:r>
      <w:r w:rsidR="00401B48" w:rsidRPr="008B39E1">
        <w:rPr>
          <w:rFonts w:ascii="Times New Roman" w:hAnsi="Times New Roman" w:cs="Times New Roman"/>
          <w:noProof/>
          <w:sz w:val="24"/>
          <w:szCs w:val="24"/>
        </w:rPr>
        <w:t>,</w:t>
      </w:r>
      <w:r w:rsidR="007919F5" w:rsidRPr="008B39E1">
        <w:rPr>
          <w:rFonts w:ascii="Times New Roman" w:hAnsi="Times New Roman" w:cs="Times New Roman"/>
          <w:noProof/>
          <w:sz w:val="24"/>
          <w:szCs w:val="24"/>
        </w:rPr>
        <w:t xml:space="preserve"> 1980; Carcello and Li</w:t>
      </w:r>
      <w:r w:rsidR="00401B48" w:rsidRPr="008B39E1">
        <w:rPr>
          <w:rFonts w:ascii="Times New Roman" w:hAnsi="Times New Roman" w:cs="Times New Roman"/>
          <w:noProof/>
          <w:sz w:val="24"/>
          <w:szCs w:val="24"/>
        </w:rPr>
        <w:t>,</w:t>
      </w:r>
      <w:r w:rsidR="007919F5" w:rsidRPr="008B39E1">
        <w:rPr>
          <w:rFonts w:ascii="Times New Roman" w:hAnsi="Times New Roman" w:cs="Times New Roman"/>
          <w:noProof/>
          <w:sz w:val="24"/>
          <w:szCs w:val="24"/>
        </w:rPr>
        <w:t xml:space="preserve"> 2013; Guo </w:t>
      </w:r>
      <w:r w:rsidR="00ED2DA4" w:rsidRPr="008B39E1">
        <w:rPr>
          <w:rFonts w:ascii="Times New Roman" w:hAnsi="Times New Roman" w:cs="Times New Roman"/>
          <w:i/>
          <w:noProof/>
          <w:sz w:val="24"/>
          <w:szCs w:val="24"/>
        </w:rPr>
        <w:t>et al</w:t>
      </w:r>
      <w:r w:rsidR="007919F5" w:rsidRPr="008B39E1">
        <w:rPr>
          <w:rFonts w:ascii="Times New Roman" w:hAnsi="Times New Roman" w:cs="Times New Roman"/>
          <w:noProof/>
          <w:sz w:val="24"/>
          <w:szCs w:val="24"/>
        </w:rPr>
        <w:t>.</w:t>
      </w:r>
      <w:r w:rsidR="00401B48" w:rsidRPr="008B39E1">
        <w:rPr>
          <w:rFonts w:ascii="Times New Roman" w:hAnsi="Times New Roman" w:cs="Times New Roman"/>
          <w:noProof/>
          <w:sz w:val="24"/>
          <w:szCs w:val="24"/>
        </w:rPr>
        <w:t>,</w:t>
      </w:r>
      <w:r w:rsidR="007919F5" w:rsidRPr="008B39E1">
        <w:rPr>
          <w:rFonts w:ascii="Times New Roman" w:hAnsi="Times New Roman" w:cs="Times New Roman"/>
          <w:noProof/>
          <w:sz w:val="24"/>
          <w:szCs w:val="24"/>
        </w:rPr>
        <w:t xml:space="preserve"> 2016; Bhaskar</w:t>
      </w:r>
      <w:r w:rsidR="00043CC7" w:rsidRPr="008B39E1">
        <w:rPr>
          <w:rFonts w:ascii="Times New Roman" w:hAnsi="Times New Roman" w:cs="Times New Roman"/>
          <w:noProof/>
          <w:sz w:val="24"/>
          <w:szCs w:val="24"/>
        </w:rPr>
        <w:t>, Schroeder, and Shepardson</w:t>
      </w:r>
      <w:r w:rsidR="00401B48" w:rsidRPr="008B39E1">
        <w:rPr>
          <w:rFonts w:ascii="Times New Roman" w:hAnsi="Times New Roman" w:cs="Times New Roman"/>
          <w:noProof/>
          <w:sz w:val="24"/>
          <w:szCs w:val="24"/>
        </w:rPr>
        <w:t>,</w:t>
      </w:r>
      <w:r w:rsidR="007919F5" w:rsidRPr="008B39E1">
        <w:rPr>
          <w:rFonts w:ascii="Times New Roman" w:hAnsi="Times New Roman" w:cs="Times New Roman"/>
          <w:noProof/>
          <w:sz w:val="24"/>
          <w:szCs w:val="24"/>
        </w:rPr>
        <w:t xml:space="preserve"> 2019)</w:t>
      </w:r>
      <w:r w:rsidR="007919F5" w:rsidRPr="008B39E1">
        <w:rPr>
          <w:rFonts w:ascii="Times New Roman" w:hAnsi="Times New Roman" w:cs="Times New Roman"/>
          <w:sz w:val="24"/>
          <w:szCs w:val="24"/>
        </w:rPr>
        <w:fldChar w:fldCharType="end"/>
      </w:r>
      <w:r w:rsidR="004B2AD2" w:rsidRPr="008B39E1">
        <w:rPr>
          <w:rFonts w:ascii="Times New Roman" w:hAnsi="Times New Roman" w:cs="Times New Roman"/>
          <w:sz w:val="24"/>
          <w:szCs w:val="24"/>
        </w:rPr>
        <w:t xml:space="preserve"> </w:t>
      </w:r>
      <w:r w:rsidRPr="008B39E1">
        <w:rPr>
          <w:rFonts w:ascii="Times New Roman" w:hAnsi="Times New Roman" w:cs="Times New Roman"/>
          <w:sz w:val="24"/>
          <w:szCs w:val="24"/>
        </w:rPr>
        <w:t xml:space="preserve">and industry and year fixed effects (see Appendix A for variable definitions). Two firm characteristics of specific relevance in the relocation context are the </w:t>
      </w:r>
      <w:r w:rsidR="009207E0" w:rsidRPr="008B39E1">
        <w:rPr>
          <w:rFonts w:ascii="Times New Roman" w:hAnsi="Times New Roman" w:cs="Times New Roman"/>
          <w:sz w:val="24"/>
          <w:szCs w:val="24"/>
        </w:rPr>
        <w:t>presence of</w:t>
      </w:r>
      <w:r w:rsidRPr="008B39E1">
        <w:rPr>
          <w:rFonts w:ascii="Times New Roman" w:hAnsi="Times New Roman" w:cs="Times New Roman"/>
          <w:sz w:val="24"/>
          <w:szCs w:val="24"/>
        </w:rPr>
        <w:t xml:space="preserve"> pension</w:t>
      </w:r>
      <w:r w:rsidR="00C236A0" w:rsidRPr="008B39E1">
        <w:rPr>
          <w:rFonts w:ascii="Times New Roman" w:hAnsi="Times New Roman" w:cs="Times New Roman"/>
          <w:sz w:val="24"/>
          <w:szCs w:val="24"/>
        </w:rPr>
        <w:t>,</w:t>
      </w:r>
      <w:r w:rsidRPr="008B39E1">
        <w:rPr>
          <w:rFonts w:ascii="Times New Roman" w:hAnsi="Times New Roman" w:cs="Times New Roman"/>
          <w:sz w:val="24"/>
          <w:szCs w:val="24"/>
        </w:rPr>
        <w:t xml:space="preserve"> </w:t>
      </w:r>
      <w:proofErr w:type="spellStart"/>
      <w:r w:rsidR="00334738" w:rsidRPr="008B39E1">
        <w:rPr>
          <w:rFonts w:ascii="Times New Roman" w:hAnsi="Times New Roman" w:cs="Times New Roman"/>
          <w:i/>
          <w:iCs/>
          <w:sz w:val="24"/>
          <w:szCs w:val="24"/>
        </w:rPr>
        <w:t>NO_PENSION</w:t>
      </w:r>
      <w:proofErr w:type="spellEnd"/>
      <w:r w:rsidR="00C236A0" w:rsidRPr="008B39E1">
        <w:rPr>
          <w:rFonts w:ascii="Times New Roman" w:hAnsi="Times New Roman" w:cs="Times New Roman"/>
          <w:i/>
          <w:iCs/>
          <w:sz w:val="24"/>
          <w:szCs w:val="24"/>
        </w:rPr>
        <w:t>,</w:t>
      </w:r>
      <w:r w:rsidR="00334738" w:rsidRPr="008B39E1">
        <w:rPr>
          <w:rFonts w:ascii="Times New Roman" w:hAnsi="Times New Roman" w:cs="Times New Roman"/>
          <w:sz w:val="24"/>
          <w:szCs w:val="24"/>
        </w:rPr>
        <w:t xml:space="preserve"> </w:t>
      </w:r>
      <w:r w:rsidRPr="008B39E1">
        <w:rPr>
          <w:rFonts w:ascii="Times New Roman" w:hAnsi="Times New Roman" w:cs="Times New Roman"/>
          <w:sz w:val="24"/>
          <w:szCs w:val="24"/>
        </w:rPr>
        <w:t>and restructuring plans</w:t>
      </w:r>
      <w:r w:rsidR="00C236A0" w:rsidRPr="008B39E1">
        <w:rPr>
          <w:rFonts w:ascii="Times New Roman" w:hAnsi="Times New Roman" w:cs="Times New Roman"/>
          <w:sz w:val="24"/>
          <w:szCs w:val="24"/>
        </w:rPr>
        <w:t>,</w:t>
      </w:r>
      <w:r w:rsidR="00334738" w:rsidRPr="008B39E1">
        <w:rPr>
          <w:rFonts w:ascii="Times New Roman" w:hAnsi="Times New Roman" w:cs="Times New Roman"/>
          <w:i/>
          <w:iCs/>
          <w:sz w:val="24"/>
          <w:szCs w:val="24"/>
        </w:rPr>
        <w:t xml:space="preserve"> RESTRUCTURE</w:t>
      </w:r>
      <w:r w:rsidRPr="008B39E1">
        <w:rPr>
          <w:rFonts w:ascii="Times New Roman" w:hAnsi="Times New Roman" w:cs="Times New Roman"/>
          <w:sz w:val="24"/>
          <w:szCs w:val="24"/>
        </w:rPr>
        <w:t xml:space="preserve">. We control for the presence of defined benefit pension plans as prior literature suggests that employees with vested pension plans are more loyal and willing to relocate with the firm </w:t>
      </w:r>
      <w:r w:rsidRPr="008B39E1">
        <w:rPr>
          <w:rFonts w:ascii="Times New Roman" w:hAnsi="Times New Roman" w:cs="Times New Roman"/>
          <w:sz w:val="24"/>
          <w:szCs w:val="24"/>
        </w:rPr>
        <w:fldChar w:fldCharType="begin" w:fldLock="1"/>
      </w:r>
      <w:r w:rsidRPr="008B39E1">
        <w:rPr>
          <w:rFonts w:ascii="Times New Roman" w:hAnsi="Times New Roman" w:cs="Times New Roman"/>
          <w:sz w:val="24"/>
          <w:szCs w:val="24"/>
        </w:rPr>
        <w:instrText>ADDIN CSL_CITATION {"citationItems":[{"id":"ITEM-1","itemData":{"DOI":"10.1002/(SICI)1099-1379(199805)19:3&lt;275::AID-JOB840&gt;3.0.CO;2-S","ISSN":"08943796","abstract":"This research examines the willingness of employees to follow their organization when the entire business unit is geographically relocating. The site for the study was a large government defense agency moving from a major U.S. northeastern metropolitan area to a rural area south of Washington, D.C. The study participants were 380 employees who were deciding within the next 6 months if they would relocate, too. Attachment to the present community, attachment to the current organization, and availability of job market alternatives are the factors most significantly associated with willingness to move during corporate relocation. © 1998 John Wiley &amp; Sons, Ltd.","author":[{"dropping-particle":"","family":"Feldman","given":"Daniel C.","non-dropping-particle":"","parse-names":false,"suffix":""},{"dropping-particle":"","family":"Bolino","given":"Mark C.","non-dropping-particle":"","parse-names":false,"suffix":""}],"container-title":"Journal of Organizational Behavior","id":"ITEM-1","issue":"3","issued":{"date-parts":[["1998"]]},"page":"275-288","title":"Moving on out: When are employees willing to follow their organization during corporate relocation?","type":"article-journal","volume":"19"},"uris":["http://www.mendeley.com/documents/?uuid=9b58fb4a-71af-46f0-b7ce-182471366be1"]}],"mendeley":{"formattedCitation":"(Feldman and Bolino 1998)","plainTextFormattedCitation":"(Feldman and Bolino 1998)","previouslyFormattedCitation":"(Feldman and Bolino 1998)"},"properties":{"noteIndex":0},"schema":"https://github.com/citation-style-language/schema/raw/master/csl-citation.json"}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(Feldman and Bolino</w:t>
      </w:r>
      <w:r w:rsidR="00401B48"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1998)</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w:t>
      </w:r>
      <w:proofErr w:type="spellStart"/>
      <w:proofErr w:type="gramStart"/>
      <w:r w:rsidR="00194E1B" w:rsidRPr="008B39E1">
        <w:rPr>
          <w:rFonts w:ascii="Times New Roman" w:hAnsi="Times New Roman" w:cs="Times New Roman"/>
          <w:i/>
          <w:iCs/>
          <w:sz w:val="24"/>
          <w:szCs w:val="24"/>
        </w:rPr>
        <w:t>NO_PENSION</w:t>
      </w:r>
      <w:proofErr w:type="spellEnd"/>
      <w:r w:rsidRPr="008B39E1">
        <w:rPr>
          <w:rFonts w:ascii="Times New Roman" w:hAnsi="Times New Roman" w:cs="Times New Roman"/>
          <w:sz w:val="24"/>
          <w:szCs w:val="24"/>
        </w:rPr>
        <w:t>,</w:t>
      </w:r>
      <w:proofErr w:type="gramEnd"/>
      <w:r w:rsidRPr="008B39E1">
        <w:rPr>
          <w:rFonts w:ascii="Times New Roman" w:hAnsi="Times New Roman" w:cs="Times New Roman"/>
          <w:sz w:val="24"/>
          <w:szCs w:val="24"/>
        </w:rPr>
        <w:t xml:space="preserve"> equals 1 if the firm reports no pension plan assets. We also </w:t>
      </w:r>
      <w:proofErr w:type="gramStart"/>
      <w:r w:rsidRPr="008B39E1">
        <w:rPr>
          <w:rFonts w:ascii="Times New Roman" w:hAnsi="Times New Roman" w:cs="Times New Roman"/>
          <w:sz w:val="24"/>
          <w:szCs w:val="24"/>
        </w:rPr>
        <w:t>control for</w:t>
      </w:r>
      <w:proofErr w:type="gramEnd"/>
      <w:r w:rsidRPr="008B39E1">
        <w:rPr>
          <w:rFonts w:ascii="Times New Roman" w:hAnsi="Times New Roman" w:cs="Times New Roman"/>
          <w:sz w:val="24"/>
          <w:szCs w:val="24"/>
        </w:rPr>
        <w:t xml:space="preserve"> restructuring </w:t>
      </w:r>
      <w:r w:rsidR="00E74CAF" w:rsidRPr="008B39E1">
        <w:rPr>
          <w:rFonts w:ascii="Times New Roman" w:hAnsi="Times New Roman" w:cs="Times New Roman"/>
          <w:sz w:val="24"/>
          <w:szCs w:val="24"/>
        </w:rPr>
        <w:t>because</w:t>
      </w:r>
      <w:r w:rsidRPr="008B39E1">
        <w:rPr>
          <w:rFonts w:ascii="Times New Roman" w:hAnsi="Times New Roman" w:cs="Times New Roman"/>
          <w:sz w:val="24"/>
          <w:szCs w:val="24"/>
        </w:rPr>
        <w:t xml:space="preserve"> a firm’s restructuring plan may motivate its relocation or employee turnover and affect the likelihood of </w:t>
      </w:r>
      <w:r w:rsidR="004C67F6" w:rsidRPr="008B39E1">
        <w:rPr>
          <w:rFonts w:ascii="Times New Roman" w:hAnsi="Times New Roman" w:cs="Times New Roman"/>
          <w:sz w:val="24"/>
          <w:szCs w:val="24"/>
        </w:rPr>
        <w:t xml:space="preserve">internal control </w:t>
      </w:r>
      <w:r w:rsidR="00334738" w:rsidRPr="008B39E1">
        <w:rPr>
          <w:rFonts w:ascii="Times New Roman" w:hAnsi="Times New Roman" w:cs="Times New Roman"/>
          <w:sz w:val="24"/>
          <w:szCs w:val="24"/>
        </w:rPr>
        <w:t>issues</w:t>
      </w:r>
      <w:r w:rsidRPr="008B39E1">
        <w:rPr>
          <w:rFonts w:ascii="Times New Roman" w:hAnsi="Times New Roman" w:cs="Times New Roman"/>
          <w:sz w:val="24"/>
          <w:szCs w:val="24"/>
        </w:rPr>
        <w:t xml:space="preserve">. </w:t>
      </w:r>
      <w:r w:rsidR="0079106A" w:rsidRPr="008B39E1">
        <w:rPr>
          <w:rFonts w:ascii="Times New Roman" w:hAnsi="Times New Roman" w:cs="Times New Roman"/>
          <w:i/>
          <w:iCs/>
          <w:sz w:val="24"/>
          <w:szCs w:val="24"/>
        </w:rPr>
        <w:t>RESTRUCTURE</w:t>
      </w:r>
      <w:r w:rsidRPr="008B39E1">
        <w:rPr>
          <w:rFonts w:ascii="Times New Roman" w:hAnsi="Times New Roman" w:cs="Times New Roman"/>
          <w:sz w:val="24"/>
          <w:szCs w:val="24"/>
        </w:rPr>
        <w:t xml:space="preserve"> </w:t>
      </w:r>
      <w:r w:rsidR="00054961" w:rsidRPr="008B39E1">
        <w:rPr>
          <w:rFonts w:ascii="Times New Roman" w:hAnsi="Times New Roman" w:cs="Times New Roman"/>
          <w:sz w:val="24"/>
          <w:szCs w:val="24"/>
        </w:rPr>
        <w:t>equals</w:t>
      </w:r>
      <w:r w:rsidRPr="008B39E1">
        <w:rPr>
          <w:rFonts w:ascii="Times New Roman" w:hAnsi="Times New Roman" w:cs="Times New Roman"/>
          <w:sz w:val="24"/>
          <w:szCs w:val="24"/>
        </w:rPr>
        <w:t xml:space="preserve"> 1 if the firm reports restructuring expenses for the fiscal year</w:t>
      </w:r>
      <w:r w:rsidR="0079106A" w:rsidRPr="008B39E1">
        <w:rPr>
          <w:rFonts w:ascii="Times New Roman" w:hAnsi="Times New Roman" w:cs="Times New Roman"/>
          <w:sz w:val="24"/>
          <w:szCs w:val="24"/>
        </w:rPr>
        <w:t>, and 0 otherwise</w:t>
      </w:r>
      <w:r w:rsidRPr="008B39E1">
        <w:rPr>
          <w:rFonts w:ascii="Times New Roman" w:hAnsi="Times New Roman" w:cs="Times New Roman"/>
          <w:sz w:val="24"/>
          <w:szCs w:val="24"/>
        </w:rPr>
        <w:t xml:space="preserve">. Our financial controls are </w:t>
      </w:r>
      <w:r w:rsidR="00F04AE5" w:rsidRPr="008B39E1">
        <w:rPr>
          <w:rFonts w:ascii="Times New Roman" w:hAnsi="Times New Roman" w:cs="Times New Roman"/>
          <w:i/>
          <w:iCs/>
          <w:sz w:val="24"/>
          <w:szCs w:val="24"/>
        </w:rPr>
        <w:t>SIZE</w:t>
      </w:r>
      <w:r w:rsidRPr="008B39E1">
        <w:rPr>
          <w:rFonts w:ascii="Times New Roman" w:hAnsi="Times New Roman" w:cs="Times New Roman"/>
          <w:i/>
          <w:iCs/>
          <w:sz w:val="24"/>
          <w:szCs w:val="24"/>
        </w:rPr>
        <w:t xml:space="preserve">, ROA, </w:t>
      </w:r>
      <w:r w:rsidR="00F04AE5" w:rsidRPr="008B39E1">
        <w:rPr>
          <w:rFonts w:ascii="Times New Roman" w:hAnsi="Times New Roman" w:cs="Times New Roman"/>
          <w:i/>
          <w:iCs/>
          <w:sz w:val="24"/>
          <w:szCs w:val="24"/>
        </w:rPr>
        <w:t>LOSS</w:t>
      </w:r>
      <w:r w:rsidRPr="008B39E1">
        <w:rPr>
          <w:rFonts w:ascii="Times New Roman" w:hAnsi="Times New Roman" w:cs="Times New Roman"/>
          <w:i/>
          <w:iCs/>
          <w:sz w:val="24"/>
          <w:szCs w:val="24"/>
        </w:rPr>
        <w:t xml:space="preserve">, </w:t>
      </w:r>
      <w:r w:rsidR="00F04AE5" w:rsidRPr="008B39E1">
        <w:rPr>
          <w:rFonts w:ascii="Times New Roman" w:hAnsi="Times New Roman" w:cs="Times New Roman"/>
          <w:sz w:val="24"/>
          <w:szCs w:val="24"/>
        </w:rPr>
        <w:t>b</w:t>
      </w:r>
      <w:r w:rsidRPr="008B39E1">
        <w:rPr>
          <w:rFonts w:ascii="Times New Roman" w:hAnsi="Times New Roman" w:cs="Times New Roman"/>
          <w:sz w:val="24"/>
          <w:szCs w:val="24"/>
        </w:rPr>
        <w:t>ook-to-</w:t>
      </w:r>
      <w:r w:rsidR="00F04AE5" w:rsidRPr="008B39E1">
        <w:rPr>
          <w:rFonts w:ascii="Times New Roman" w:hAnsi="Times New Roman" w:cs="Times New Roman"/>
          <w:sz w:val="24"/>
          <w:szCs w:val="24"/>
        </w:rPr>
        <w:t>m</w:t>
      </w:r>
      <w:r w:rsidRPr="008B39E1">
        <w:rPr>
          <w:rFonts w:ascii="Times New Roman" w:hAnsi="Times New Roman" w:cs="Times New Roman"/>
          <w:sz w:val="24"/>
          <w:szCs w:val="24"/>
        </w:rPr>
        <w:t>arket</w:t>
      </w:r>
      <w:r w:rsidR="00575807" w:rsidRPr="008B39E1">
        <w:rPr>
          <w:rFonts w:ascii="Times New Roman" w:hAnsi="Times New Roman" w:cs="Times New Roman"/>
          <w:i/>
          <w:iCs/>
          <w:sz w:val="24"/>
          <w:szCs w:val="24"/>
        </w:rPr>
        <w:t xml:space="preserve"> (BM</w:t>
      </w:r>
      <w:r w:rsidR="00575807" w:rsidRPr="008B39E1">
        <w:rPr>
          <w:rFonts w:ascii="Times New Roman" w:hAnsi="Times New Roman" w:cs="Times New Roman"/>
          <w:sz w:val="24"/>
          <w:szCs w:val="24"/>
        </w:rPr>
        <w:t>)</w:t>
      </w:r>
      <w:r w:rsidRPr="008B39E1">
        <w:rPr>
          <w:rFonts w:ascii="Times New Roman" w:hAnsi="Times New Roman" w:cs="Times New Roman"/>
          <w:sz w:val="24"/>
          <w:szCs w:val="24"/>
        </w:rPr>
        <w:t>,</w:t>
      </w:r>
      <w:r w:rsidR="00BD1DC6" w:rsidRPr="008B39E1">
        <w:rPr>
          <w:rFonts w:ascii="Times New Roman" w:hAnsi="Times New Roman" w:cs="Times New Roman"/>
          <w:sz w:val="24"/>
          <w:szCs w:val="24"/>
        </w:rPr>
        <w:t xml:space="preserve"> </w:t>
      </w:r>
      <w:r w:rsidR="00F04AE5" w:rsidRPr="008B39E1">
        <w:rPr>
          <w:rFonts w:ascii="Times New Roman" w:hAnsi="Times New Roman" w:cs="Times New Roman"/>
          <w:sz w:val="24"/>
          <w:szCs w:val="24"/>
        </w:rPr>
        <w:t>d</w:t>
      </w:r>
      <w:r w:rsidR="00BD1DC6" w:rsidRPr="008B39E1">
        <w:rPr>
          <w:rFonts w:ascii="Times New Roman" w:hAnsi="Times New Roman" w:cs="Times New Roman"/>
          <w:sz w:val="24"/>
          <w:szCs w:val="24"/>
        </w:rPr>
        <w:t xml:space="preserve">ebt </w:t>
      </w:r>
      <w:r w:rsidR="00F04AE5" w:rsidRPr="008B39E1">
        <w:rPr>
          <w:rFonts w:ascii="Times New Roman" w:hAnsi="Times New Roman" w:cs="Times New Roman"/>
          <w:sz w:val="24"/>
          <w:szCs w:val="24"/>
        </w:rPr>
        <w:t>l</w:t>
      </w:r>
      <w:r w:rsidR="00BD1DC6" w:rsidRPr="008B39E1">
        <w:rPr>
          <w:rFonts w:ascii="Times New Roman" w:hAnsi="Times New Roman" w:cs="Times New Roman"/>
          <w:sz w:val="24"/>
          <w:szCs w:val="24"/>
        </w:rPr>
        <w:t>everage</w:t>
      </w:r>
      <w:r w:rsidR="00BD1DC6" w:rsidRPr="008B39E1">
        <w:rPr>
          <w:rFonts w:ascii="Times New Roman" w:hAnsi="Times New Roman" w:cs="Times New Roman"/>
          <w:i/>
          <w:iCs/>
          <w:sz w:val="24"/>
          <w:szCs w:val="24"/>
        </w:rPr>
        <w:t xml:space="preserve"> (</w:t>
      </w:r>
      <w:proofErr w:type="spellStart"/>
      <w:r w:rsidR="00C60468" w:rsidRPr="008B39E1">
        <w:rPr>
          <w:rFonts w:ascii="Times New Roman" w:hAnsi="Times New Roman" w:cs="Times New Roman"/>
          <w:i/>
          <w:iCs/>
          <w:sz w:val="24"/>
          <w:szCs w:val="24"/>
        </w:rPr>
        <w:t>LEVDEBT</w:t>
      </w:r>
      <w:proofErr w:type="spellEnd"/>
      <w:r w:rsidR="00BD1DC6" w:rsidRPr="008B39E1">
        <w:rPr>
          <w:rFonts w:ascii="Times New Roman" w:hAnsi="Times New Roman" w:cs="Times New Roman"/>
          <w:i/>
          <w:iCs/>
          <w:sz w:val="24"/>
          <w:szCs w:val="24"/>
        </w:rPr>
        <w:t>),</w:t>
      </w:r>
      <w:r w:rsidRPr="008B39E1">
        <w:rPr>
          <w:rFonts w:ascii="Times New Roman" w:hAnsi="Times New Roman" w:cs="Times New Roman"/>
          <w:i/>
          <w:iCs/>
          <w:sz w:val="24"/>
          <w:szCs w:val="24"/>
        </w:rPr>
        <w:t xml:space="preserve"> </w:t>
      </w:r>
      <w:r w:rsidR="00F04AE5" w:rsidRPr="008B39E1">
        <w:rPr>
          <w:rFonts w:ascii="Times New Roman" w:hAnsi="Times New Roman" w:cs="Times New Roman"/>
          <w:sz w:val="24"/>
          <w:szCs w:val="24"/>
        </w:rPr>
        <w:t>c</w:t>
      </w:r>
      <w:r w:rsidRPr="008B39E1">
        <w:rPr>
          <w:rFonts w:ascii="Times New Roman" w:hAnsi="Times New Roman" w:cs="Times New Roman"/>
          <w:sz w:val="24"/>
          <w:szCs w:val="24"/>
        </w:rPr>
        <w:t xml:space="preserve">ash </w:t>
      </w:r>
      <w:r w:rsidR="00F04AE5" w:rsidRPr="008B39E1">
        <w:rPr>
          <w:rFonts w:ascii="Times New Roman" w:hAnsi="Times New Roman" w:cs="Times New Roman"/>
          <w:sz w:val="24"/>
          <w:szCs w:val="24"/>
        </w:rPr>
        <w:t>f</w:t>
      </w:r>
      <w:r w:rsidRPr="008B39E1">
        <w:rPr>
          <w:rFonts w:ascii="Times New Roman" w:hAnsi="Times New Roman" w:cs="Times New Roman"/>
          <w:sz w:val="24"/>
          <w:szCs w:val="24"/>
        </w:rPr>
        <w:t xml:space="preserve">low from </w:t>
      </w:r>
      <w:r w:rsidR="00F04AE5" w:rsidRPr="008B39E1">
        <w:rPr>
          <w:rFonts w:ascii="Times New Roman" w:hAnsi="Times New Roman" w:cs="Times New Roman"/>
          <w:sz w:val="24"/>
          <w:szCs w:val="24"/>
        </w:rPr>
        <w:t>o</w:t>
      </w:r>
      <w:r w:rsidRPr="008B39E1">
        <w:rPr>
          <w:rFonts w:ascii="Times New Roman" w:hAnsi="Times New Roman" w:cs="Times New Roman"/>
          <w:sz w:val="24"/>
          <w:szCs w:val="24"/>
        </w:rPr>
        <w:t>perations</w:t>
      </w:r>
      <w:r w:rsidR="00575807" w:rsidRPr="008B39E1">
        <w:rPr>
          <w:rFonts w:ascii="Times New Roman" w:hAnsi="Times New Roman" w:cs="Times New Roman"/>
          <w:i/>
          <w:iCs/>
          <w:sz w:val="24"/>
          <w:szCs w:val="24"/>
        </w:rPr>
        <w:t xml:space="preserve"> (CFO)</w:t>
      </w:r>
      <w:r w:rsidRPr="008B39E1">
        <w:rPr>
          <w:rFonts w:ascii="Times New Roman" w:hAnsi="Times New Roman" w:cs="Times New Roman"/>
          <w:i/>
          <w:iCs/>
          <w:sz w:val="24"/>
          <w:szCs w:val="24"/>
        </w:rPr>
        <w:t xml:space="preserve">, </w:t>
      </w:r>
      <w:r w:rsidR="00F04AE5" w:rsidRPr="008B39E1">
        <w:rPr>
          <w:rFonts w:ascii="Times New Roman" w:hAnsi="Times New Roman" w:cs="Times New Roman"/>
          <w:i/>
          <w:iCs/>
          <w:sz w:val="24"/>
          <w:szCs w:val="24"/>
        </w:rPr>
        <w:t>i</w:t>
      </w:r>
      <w:r w:rsidRPr="008B39E1">
        <w:rPr>
          <w:rFonts w:ascii="Times New Roman" w:hAnsi="Times New Roman" w:cs="Times New Roman"/>
          <w:i/>
          <w:iCs/>
          <w:sz w:val="24"/>
          <w:szCs w:val="24"/>
        </w:rPr>
        <w:t>nventory</w:t>
      </w:r>
      <w:r w:rsidR="00575807" w:rsidRPr="008B39E1">
        <w:rPr>
          <w:rFonts w:ascii="Times New Roman" w:hAnsi="Times New Roman" w:cs="Times New Roman"/>
          <w:i/>
          <w:iCs/>
          <w:sz w:val="24"/>
          <w:szCs w:val="24"/>
        </w:rPr>
        <w:t xml:space="preserve"> (INV)</w:t>
      </w:r>
      <w:r w:rsidRPr="008B39E1">
        <w:rPr>
          <w:rFonts w:ascii="Times New Roman" w:hAnsi="Times New Roman" w:cs="Times New Roman"/>
          <w:sz w:val="24"/>
          <w:szCs w:val="24"/>
        </w:rPr>
        <w:t xml:space="preserve"> over assets, and </w:t>
      </w:r>
      <w:r w:rsidR="00F04AE5" w:rsidRPr="008B39E1">
        <w:rPr>
          <w:rFonts w:ascii="Times New Roman" w:hAnsi="Times New Roman" w:cs="Times New Roman"/>
          <w:sz w:val="24"/>
          <w:szCs w:val="24"/>
        </w:rPr>
        <w:t>r</w:t>
      </w:r>
      <w:r w:rsidRPr="008B39E1">
        <w:rPr>
          <w:rFonts w:ascii="Times New Roman" w:hAnsi="Times New Roman" w:cs="Times New Roman"/>
          <w:sz w:val="24"/>
          <w:szCs w:val="24"/>
        </w:rPr>
        <w:t>eceivables</w:t>
      </w:r>
      <w:r w:rsidR="00575807" w:rsidRPr="008B39E1">
        <w:rPr>
          <w:rFonts w:ascii="Times New Roman" w:hAnsi="Times New Roman" w:cs="Times New Roman"/>
          <w:i/>
          <w:iCs/>
          <w:sz w:val="24"/>
          <w:szCs w:val="24"/>
        </w:rPr>
        <w:t xml:space="preserve"> (REC)</w:t>
      </w:r>
      <w:r w:rsidRPr="008B39E1">
        <w:rPr>
          <w:rFonts w:ascii="Times New Roman" w:hAnsi="Times New Roman" w:cs="Times New Roman"/>
          <w:sz w:val="24"/>
          <w:szCs w:val="24"/>
        </w:rPr>
        <w:t xml:space="preserve"> over assets. We also </w:t>
      </w:r>
      <w:proofErr w:type="gramStart"/>
      <w:r w:rsidRPr="008B39E1">
        <w:rPr>
          <w:rFonts w:ascii="Times New Roman" w:hAnsi="Times New Roman" w:cs="Times New Roman"/>
          <w:sz w:val="24"/>
          <w:szCs w:val="24"/>
        </w:rPr>
        <w:t>control for</w:t>
      </w:r>
      <w:proofErr w:type="gramEnd"/>
      <w:r w:rsidRPr="008B39E1">
        <w:rPr>
          <w:rFonts w:ascii="Times New Roman" w:hAnsi="Times New Roman" w:cs="Times New Roman"/>
          <w:sz w:val="24"/>
          <w:szCs w:val="24"/>
        </w:rPr>
        <w:t xml:space="preserve"> Big 4</w:t>
      </w:r>
      <w:r w:rsidR="0077572B" w:rsidRPr="008B39E1">
        <w:rPr>
          <w:rFonts w:ascii="Times New Roman" w:hAnsi="Times New Roman" w:cs="Times New Roman"/>
          <w:sz w:val="24"/>
          <w:szCs w:val="24"/>
        </w:rPr>
        <w:t xml:space="preserve"> (</w:t>
      </w:r>
      <w:r w:rsidR="0077572B" w:rsidRPr="008B39E1">
        <w:rPr>
          <w:rFonts w:ascii="Times New Roman" w:hAnsi="Times New Roman" w:cs="Times New Roman"/>
          <w:i/>
          <w:iCs/>
          <w:sz w:val="24"/>
          <w:szCs w:val="24"/>
        </w:rPr>
        <w:t>BIG4</w:t>
      </w:r>
      <w:r w:rsidR="008C349C" w:rsidRPr="008B39E1">
        <w:rPr>
          <w:rFonts w:ascii="Times New Roman" w:hAnsi="Times New Roman" w:cs="Times New Roman"/>
          <w:sz w:val="24"/>
          <w:szCs w:val="24"/>
        </w:rPr>
        <w:t>)</w:t>
      </w:r>
      <w:r w:rsidRPr="008B39E1">
        <w:rPr>
          <w:rFonts w:ascii="Times New Roman" w:hAnsi="Times New Roman" w:cs="Times New Roman"/>
          <w:sz w:val="24"/>
          <w:szCs w:val="24"/>
        </w:rPr>
        <w:t xml:space="preserve"> auditors.</w:t>
      </w:r>
    </w:p>
    <w:p w14:paraId="7B779D7A" w14:textId="2BAD4EAA" w:rsidR="00452505" w:rsidRPr="008B39E1" w:rsidRDefault="00452505" w:rsidP="00981B19">
      <w:pPr>
        <w:spacing w:after="0" w:line="480" w:lineRule="auto"/>
        <w:jc w:val="center"/>
        <w:rPr>
          <w:rFonts w:ascii="Times New Roman" w:hAnsi="Times New Roman" w:cs="Times New Roman"/>
          <w:sz w:val="24"/>
          <w:szCs w:val="24"/>
        </w:rPr>
      </w:pPr>
      <w:r w:rsidRPr="008B39E1">
        <w:rPr>
          <w:rFonts w:ascii="Times New Roman" w:hAnsi="Times New Roman" w:cs="Times New Roman"/>
          <w:b/>
          <w:bCs/>
          <w:sz w:val="24"/>
          <w:szCs w:val="24"/>
        </w:rPr>
        <w:t>IV. Sample and Results</w:t>
      </w:r>
    </w:p>
    <w:p w14:paraId="36E13E44" w14:textId="77777777" w:rsidR="00452505" w:rsidRPr="008B39E1" w:rsidRDefault="00452505" w:rsidP="00981B19">
      <w:pPr>
        <w:spacing w:after="0" w:line="480" w:lineRule="auto"/>
        <w:rPr>
          <w:rFonts w:ascii="Times New Roman" w:hAnsi="Times New Roman" w:cs="Times New Roman"/>
          <w:sz w:val="24"/>
          <w:szCs w:val="24"/>
        </w:rPr>
      </w:pPr>
      <w:r w:rsidRPr="008B39E1">
        <w:rPr>
          <w:rFonts w:ascii="Times New Roman" w:hAnsi="Times New Roman" w:cs="Times New Roman"/>
          <w:b/>
          <w:bCs/>
          <w:sz w:val="24"/>
          <w:szCs w:val="24"/>
        </w:rPr>
        <w:t>Sample Construction</w:t>
      </w:r>
    </w:p>
    <w:p w14:paraId="7A1E94BC" w14:textId="7A821766" w:rsidR="00452505" w:rsidRPr="008B39E1" w:rsidRDefault="00F0358B"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We construct our</w:t>
      </w:r>
      <w:r w:rsidR="00F70EFA" w:rsidRPr="008B39E1">
        <w:rPr>
          <w:rFonts w:ascii="Times New Roman" w:hAnsi="Times New Roman" w:cs="Times New Roman"/>
          <w:sz w:val="24"/>
          <w:szCs w:val="24"/>
        </w:rPr>
        <w:t xml:space="preserve"> </w:t>
      </w:r>
      <w:r w:rsidRPr="008B39E1">
        <w:rPr>
          <w:rFonts w:ascii="Times New Roman" w:hAnsi="Times New Roman" w:cs="Times New Roman"/>
          <w:sz w:val="24"/>
          <w:szCs w:val="24"/>
        </w:rPr>
        <w:t>sample in two steps</w:t>
      </w:r>
      <w:r w:rsidR="00371A46" w:rsidRPr="008B39E1">
        <w:rPr>
          <w:rFonts w:ascii="Times New Roman" w:hAnsi="Times New Roman" w:cs="Times New Roman"/>
          <w:sz w:val="24"/>
          <w:szCs w:val="24"/>
        </w:rPr>
        <w:t xml:space="preserve">. We first identify firms that relocate their </w:t>
      </w:r>
      <w:r w:rsidR="00BF0DA0" w:rsidRPr="008B39E1">
        <w:rPr>
          <w:rFonts w:ascii="Times New Roman" w:hAnsi="Times New Roman" w:cs="Times New Roman"/>
          <w:sz w:val="24"/>
          <w:szCs w:val="24"/>
        </w:rPr>
        <w:t>headquarters and</w:t>
      </w:r>
      <w:r w:rsidR="00371A46" w:rsidRPr="008B39E1">
        <w:rPr>
          <w:rFonts w:ascii="Times New Roman" w:hAnsi="Times New Roman" w:cs="Times New Roman"/>
          <w:sz w:val="24"/>
          <w:szCs w:val="24"/>
        </w:rPr>
        <w:t xml:space="preserve"> subsequently build a sample of</w:t>
      </w:r>
      <w:r w:rsidR="003D453C" w:rsidRPr="008B39E1">
        <w:rPr>
          <w:rFonts w:ascii="Times New Roman" w:hAnsi="Times New Roman" w:cs="Times New Roman"/>
          <w:sz w:val="24"/>
          <w:szCs w:val="24"/>
        </w:rPr>
        <w:t xml:space="preserve"> </w:t>
      </w:r>
      <w:r w:rsidR="00BD2C56" w:rsidRPr="008B39E1">
        <w:rPr>
          <w:rFonts w:ascii="Times New Roman" w:hAnsi="Times New Roman" w:cs="Times New Roman"/>
          <w:sz w:val="24"/>
          <w:szCs w:val="24"/>
        </w:rPr>
        <w:t xml:space="preserve">relocating </w:t>
      </w:r>
      <w:r w:rsidR="003D453C" w:rsidRPr="008B39E1">
        <w:rPr>
          <w:rFonts w:ascii="Times New Roman" w:hAnsi="Times New Roman" w:cs="Times New Roman"/>
          <w:sz w:val="24"/>
          <w:szCs w:val="24"/>
        </w:rPr>
        <w:t>and control</w:t>
      </w:r>
      <w:r w:rsidR="00371A46" w:rsidRPr="008B39E1">
        <w:rPr>
          <w:rFonts w:ascii="Times New Roman" w:hAnsi="Times New Roman" w:cs="Times New Roman"/>
          <w:sz w:val="24"/>
          <w:szCs w:val="24"/>
        </w:rPr>
        <w:t xml:space="preserve"> firm-year observations surrounding the year of relocations.</w:t>
      </w:r>
      <w:r w:rsidR="00334738" w:rsidRPr="008B39E1">
        <w:rPr>
          <w:rFonts w:ascii="Times New Roman" w:hAnsi="Times New Roman" w:cs="Times New Roman"/>
          <w:sz w:val="24"/>
          <w:szCs w:val="24"/>
        </w:rPr>
        <w:t xml:space="preserve"> </w:t>
      </w:r>
      <w:r w:rsidR="00452505" w:rsidRPr="008B39E1">
        <w:rPr>
          <w:rFonts w:ascii="Times New Roman" w:hAnsi="Times New Roman" w:cs="Times New Roman"/>
          <w:sz w:val="24"/>
          <w:szCs w:val="24"/>
        </w:rPr>
        <w:t xml:space="preserve">We </w:t>
      </w:r>
      <w:r w:rsidR="005856A0" w:rsidRPr="008B39E1">
        <w:rPr>
          <w:rFonts w:ascii="Times New Roman" w:hAnsi="Times New Roman" w:cs="Times New Roman"/>
          <w:sz w:val="24"/>
          <w:szCs w:val="24"/>
        </w:rPr>
        <w:t>start</w:t>
      </w:r>
      <w:r w:rsidR="00452505" w:rsidRPr="008B39E1">
        <w:rPr>
          <w:rFonts w:ascii="Times New Roman" w:hAnsi="Times New Roman" w:cs="Times New Roman"/>
          <w:sz w:val="24"/>
          <w:szCs w:val="24"/>
        </w:rPr>
        <w:t xml:space="preserve"> by identifying firm headquarters relocations between </w:t>
      </w:r>
      <w:r w:rsidR="000A4A8B" w:rsidRPr="008B39E1">
        <w:rPr>
          <w:rFonts w:ascii="Times New Roman" w:hAnsi="Times New Roman" w:cs="Times New Roman"/>
          <w:sz w:val="24"/>
          <w:szCs w:val="24"/>
        </w:rPr>
        <w:t>2005</w:t>
      </w:r>
      <w:r w:rsidR="00452505" w:rsidRPr="008B39E1">
        <w:rPr>
          <w:rFonts w:ascii="Times New Roman" w:hAnsi="Times New Roman" w:cs="Times New Roman"/>
          <w:sz w:val="24"/>
          <w:szCs w:val="24"/>
        </w:rPr>
        <w:t>-2017 for non-regulated industries (i.e., excluding utilities and financial services firms).</w:t>
      </w:r>
      <w:r w:rsidR="00452505" w:rsidRPr="008B39E1">
        <w:rPr>
          <w:rStyle w:val="FootnoteReference"/>
          <w:rFonts w:ascii="Times New Roman" w:hAnsi="Times New Roman" w:cs="Times New Roman"/>
        </w:rPr>
        <w:footnoteReference w:id="19"/>
      </w:r>
      <w:r w:rsidR="00452505" w:rsidRPr="008B39E1">
        <w:rPr>
          <w:rFonts w:ascii="Times New Roman" w:hAnsi="Times New Roman" w:cs="Times New Roman"/>
          <w:sz w:val="24"/>
          <w:szCs w:val="24"/>
        </w:rPr>
        <w:t xml:space="preserve"> We obtain historic locations from the Loughran and McDonald Augmented 10-X </w:t>
      </w:r>
      <w:r w:rsidR="00452505" w:rsidRPr="008B39E1">
        <w:rPr>
          <w:rFonts w:ascii="Times New Roman" w:hAnsi="Times New Roman" w:cs="Times New Roman"/>
          <w:sz w:val="24"/>
          <w:szCs w:val="24"/>
        </w:rPr>
        <w:lastRenderedPageBreak/>
        <w:t xml:space="preserve">Header data </w:t>
      </w:r>
      <w:r w:rsidR="00452505" w:rsidRPr="008B39E1">
        <w:rPr>
          <w:rStyle w:val="FootnoteReference"/>
          <w:rFonts w:ascii="Times New Roman" w:hAnsi="Times New Roman" w:cs="Times New Roman"/>
          <w:sz w:val="24"/>
          <w:szCs w:val="24"/>
        </w:rPr>
        <w:fldChar w:fldCharType="begin" w:fldLock="1"/>
      </w:r>
      <w:r w:rsidR="00452505" w:rsidRPr="008B39E1">
        <w:rPr>
          <w:rFonts w:ascii="Times New Roman" w:hAnsi="Times New Roman" w:cs="Times New Roman"/>
          <w:sz w:val="24"/>
          <w:szCs w:val="24"/>
        </w:rPr>
        <w:instrText>ADDIN CSL_CITATION {"citationItems":[{"id":"ITEM-1","itemData":{"DOI":"10.1111/1475-679X.12123","ISSN":"1475679X","abstract":"Relative to quantitative methods traditionally used in accounting and finance, textual analysis is substantially less` precise. Thus, understanding the art is of equal importance to understanding the science. In this survey, we describe the nuances of the method and, as users of textual analysis, some of the tripwires in implementation. We also review the contemporary textual analysis literature and highlight areas of future research.","author":[{"dropping-particle":"","family":"Loughran","given":"Tim","non-dropping-particle":"","parse-names":false,"suffix":""},{"dropping-particle":"","family":"Mcdonald","given":"Bill","non-dropping-particle":"","parse-names":false,"suffix":""}],"container-title":"Journal of Accounting Research","id":"ITEM-1","issue":"4","issued":{"date-parts":[["2016"]]},"page":"1187-1230","title":"Textual Analysis in Accounting and Finance: A Survey","type":"article-journal","volume":"54"},"uris":["http://www.mendeley.com/documents/?uuid=89dc4fe2-0763-4a9a-9162-273f28ef0f76"]}],"mendeley":{"formattedCitation":"(Loughran and Mcdonald 2016)","manualFormatting":"(Loughran and McDonald 2016)","plainTextFormattedCitation":"(Loughran and Mcdonald 2016)","previouslyFormattedCitation":"(Loughran and Mcdonald 2016)"},"properties":{"noteIndex":0},"schema":"https://github.com/citation-style-language/schema/raw/master/csl-citation.json"}</w:instrText>
      </w:r>
      <w:r w:rsidR="00452505" w:rsidRPr="008B39E1">
        <w:rPr>
          <w:rStyle w:val="FootnoteReference"/>
          <w:rFonts w:ascii="Times New Roman" w:hAnsi="Times New Roman" w:cs="Times New Roman"/>
          <w:sz w:val="24"/>
          <w:szCs w:val="24"/>
        </w:rPr>
        <w:fldChar w:fldCharType="separate"/>
      </w:r>
      <w:r w:rsidR="00452505" w:rsidRPr="008B39E1">
        <w:rPr>
          <w:rFonts w:ascii="Times New Roman" w:hAnsi="Times New Roman" w:cs="Times New Roman"/>
          <w:noProof/>
          <w:sz w:val="24"/>
          <w:szCs w:val="24"/>
        </w:rPr>
        <w:t>(Loughran and McDonald</w:t>
      </w:r>
      <w:r w:rsidR="00401B48" w:rsidRPr="008B39E1">
        <w:rPr>
          <w:rFonts w:ascii="Times New Roman" w:hAnsi="Times New Roman" w:cs="Times New Roman"/>
          <w:noProof/>
          <w:sz w:val="24"/>
          <w:szCs w:val="24"/>
        </w:rPr>
        <w:t>,</w:t>
      </w:r>
      <w:r w:rsidR="00452505" w:rsidRPr="008B39E1">
        <w:rPr>
          <w:rFonts w:ascii="Times New Roman" w:hAnsi="Times New Roman" w:cs="Times New Roman"/>
          <w:noProof/>
          <w:sz w:val="24"/>
          <w:szCs w:val="24"/>
        </w:rPr>
        <w:t xml:space="preserve"> 2016)</w:t>
      </w:r>
      <w:r w:rsidR="00452505" w:rsidRPr="008B39E1">
        <w:rPr>
          <w:rStyle w:val="FootnoteReference"/>
          <w:rFonts w:ascii="Times New Roman" w:hAnsi="Times New Roman" w:cs="Times New Roman"/>
          <w:sz w:val="24"/>
          <w:szCs w:val="24"/>
        </w:rPr>
        <w:fldChar w:fldCharType="end"/>
      </w:r>
      <w:r w:rsidR="00452505" w:rsidRPr="008B39E1">
        <w:rPr>
          <w:rFonts w:ascii="Times New Roman" w:hAnsi="Times New Roman" w:cs="Times New Roman"/>
          <w:sz w:val="24"/>
          <w:szCs w:val="24"/>
        </w:rPr>
        <w:t>.</w:t>
      </w:r>
      <w:r w:rsidR="00452505" w:rsidRPr="008B39E1">
        <w:rPr>
          <w:rStyle w:val="FootnoteReference"/>
          <w:rFonts w:ascii="Times New Roman" w:hAnsi="Times New Roman" w:cs="Times New Roman"/>
        </w:rPr>
        <w:footnoteReference w:id="20"/>
      </w:r>
      <w:r w:rsidR="00452505" w:rsidRPr="008B39E1">
        <w:rPr>
          <w:rFonts w:ascii="Times New Roman" w:hAnsi="Times New Roman" w:cs="Times New Roman"/>
          <w:sz w:val="24"/>
          <w:szCs w:val="24"/>
        </w:rPr>
        <w:t xml:space="preserve"> Using </w:t>
      </w:r>
      <w:r w:rsidR="00C23FEE" w:rsidRPr="008B39E1">
        <w:rPr>
          <w:rFonts w:ascii="Times New Roman" w:hAnsi="Times New Roman" w:cs="Times New Roman"/>
          <w:sz w:val="24"/>
          <w:szCs w:val="24"/>
        </w:rPr>
        <w:t>Python</w:t>
      </w:r>
      <w:r w:rsidR="00452505" w:rsidRPr="008B39E1">
        <w:rPr>
          <w:rFonts w:ascii="Times New Roman" w:hAnsi="Times New Roman" w:cs="Times New Roman"/>
          <w:sz w:val="24"/>
          <w:szCs w:val="24"/>
        </w:rPr>
        <w:t>, we extract each firm’s headquarters address from the heading of every 10-Q and 10-K within our sample period. We identify a relocation occurrence when there is a change in business zip code between two successive financial filings (e.g., 10-K to 10-Q, 10-Q to 10-Q, or 10-Q to 10-K).</w:t>
      </w:r>
      <w:r w:rsidR="00452505" w:rsidRPr="008B39E1">
        <w:rPr>
          <w:rStyle w:val="FootnoteReference"/>
          <w:rFonts w:ascii="Times New Roman" w:hAnsi="Times New Roman" w:cs="Times New Roman"/>
        </w:rPr>
        <w:footnoteReference w:id="21"/>
      </w:r>
      <w:r w:rsidR="00452505" w:rsidRPr="008B39E1">
        <w:rPr>
          <w:rFonts w:ascii="Times New Roman" w:hAnsi="Times New Roman" w:cs="Times New Roman"/>
          <w:sz w:val="24"/>
          <w:szCs w:val="24"/>
        </w:rPr>
        <w:t xml:space="preserve"> We limit our sample to U.S. firms relocating within the U.S. to minimize confounding country effects</w:t>
      </w:r>
      <w:r w:rsidR="00C6034C" w:rsidRPr="008B39E1">
        <w:rPr>
          <w:rFonts w:ascii="Times New Roman" w:hAnsi="Times New Roman" w:cs="Times New Roman"/>
          <w:sz w:val="24"/>
          <w:szCs w:val="24"/>
        </w:rPr>
        <w:t xml:space="preserve"> and because </w:t>
      </w:r>
      <w:r w:rsidR="004564F3" w:rsidRPr="008B39E1">
        <w:rPr>
          <w:rFonts w:ascii="Times New Roman" w:hAnsi="Times New Roman" w:cs="Times New Roman"/>
          <w:sz w:val="24"/>
          <w:szCs w:val="24"/>
        </w:rPr>
        <w:t>social capital data is only available for U.S. counties</w:t>
      </w:r>
      <w:r w:rsidR="00452505" w:rsidRPr="008B39E1">
        <w:rPr>
          <w:rFonts w:ascii="Times New Roman" w:hAnsi="Times New Roman" w:cs="Times New Roman"/>
          <w:sz w:val="24"/>
          <w:szCs w:val="24"/>
        </w:rPr>
        <w:t xml:space="preserve">. We retain the year immediately preceding </w:t>
      </w:r>
      <w:r w:rsidR="00C23FEE" w:rsidRPr="008B39E1">
        <w:rPr>
          <w:rFonts w:ascii="Times New Roman" w:hAnsi="Times New Roman" w:cs="Times New Roman"/>
          <w:sz w:val="24"/>
          <w:szCs w:val="24"/>
        </w:rPr>
        <w:t xml:space="preserve">relocation </w:t>
      </w:r>
      <w:r w:rsidR="00452505" w:rsidRPr="008B39E1">
        <w:rPr>
          <w:rFonts w:ascii="Times New Roman" w:hAnsi="Times New Roman" w:cs="Times New Roman"/>
          <w:sz w:val="24"/>
          <w:szCs w:val="24"/>
        </w:rPr>
        <w:t xml:space="preserve">and </w:t>
      </w:r>
      <w:r w:rsidR="00C23FEE" w:rsidRPr="008B39E1">
        <w:rPr>
          <w:rFonts w:ascii="Times New Roman" w:hAnsi="Times New Roman" w:cs="Times New Roman"/>
          <w:sz w:val="24"/>
          <w:szCs w:val="24"/>
        </w:rPr>
        <w:t xml:space="preserve">the </w:t>
      </w:r>
      <w:r w:rsidR="00452505" w:rsidRPr="008B39E1">
        <w:rPr>
          <w:rFonts w:ascii="Times New Roman" w:hAnsi="Times New Roman" w:cs="Times New Roman"/>
          <w:sz w:val="24"/>
          <w:szCs w:val="24"/>
        </w:rPr>
        <w:t xml:space="preserve">year of relocation. This results in 10,057 firm-years. </w:t>
      </w:r>
    </w:p>
    <w:p w14:paraId="248C3FD6" w14:textId="395CC6F5" w:rsidR="0029673D" w:rsidRPr="008B39E1" w:rsidRDefault="00DC55B9"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Table I</w:t>
      </w:r>
      <w:r w:rsidR="00B272B8" w:rsidRPr="008B39E1">
        <w:rPr>
          <w:rFonts w:ascii="Times New Roman" w:hAnsi="Times New Roman" w:cs="Times New Roman"/>
          <w:sz w:val="24"/>
          <w:szCs w:val="24"/>
        </w:rPr>
        <w:t>, Panel A,</w:t>
      </w:r>
      <w:r w:rsidR="0027210A" w:rsidRPr="008B39E1">
        <w:rPr>
          <w:rFonts w:ascii="Times New Roman" w:hAnsi="Times New Roman" w:cs="Times New Roman"/>
          <w:sz w:val="24"/>
          <w:szCs w:val="24"/>
        </w:rPr>
        <w:t xml:space="preserve"> </w:t>
      </w:r>
      <w:r w:rsidR="00452505" w:rsidRPr="008B39E1">
        <w:rPr>
          <w:rFonts w:ascii="Times New Roman" w:hAnsi="Times New Roman" w:cs="Times New Roman"/>
          <w:sz w:val="24"/>
          <w:szCs w:val="24"/>
        </w:rPr>
        <w:t>describes our sample selection procedures</w:t>
      </w:r>
      <w:r w:rsidR="00815002" w:rsidRPr="008B39E1">
        <w:rPr>
          <w:rFonts w:ascii="Times New Roman" w:hAnsi="Times New Roman" w:cs="Times New Roman"/>
          <w:sz w:val="24"/>
          <w:szCs w:val="24"/>
        </w:rPr>
        <w:t xml:space="preserve"> </w:t>
      </w:r>
      <w:r w:rsidR="00C23FEE" w:rsidRPr="008B39E1">
        <w:rPr>
          <w:rFonts w:ascii="Times New Roman" w:hAnsi="Times New Roman" w:cs="Times New Roman"/>
          <w:sz w:val="24"/>
          <w:szCs w:val="24"/>
        </w:rPr>
        <w:t>starting</w:t>
      </w:r>
      <w:r w:rsidR="00452505" w:rsidRPr="008B39E1">
        <w:rPr>
          <w:rFonts w:ascii="Times New Roman" w:hAnsi="Times New Roman" w:cs="Times New Roman"/>
          <w:sz w:val="24"/>
          <w:szCs w:val="24"/>
        </w:rPr>
        <w:t xml:space="preserve"> with </w:t>
      </w:r>
      <w:r w:rsidR="00C23FEE" w:rsidRPr="008B39E1">
        <w:rPr>
          <w:rFonts w:ascii="Times New Roman" w:hAnsi="Times New Roman" w:cs="Times New Roman"/>
          <w:sz w:val="24"/>
          <w:szCs w:val="24"/>
        </w:rPr>
        <w:t xml:space="preserve">the </w:t>
      </w:r>
      <w:r w:rsidR="00452505" w:rsidRPr="008B39E1">
        <w:rPr>
          <w:rFonts w:ascii="Times New Roman" w:hAnsi="Times New Roman" w:cs="Times New Roman"/>
          <w:sz w:val="24"/>
          <w:szCs w:val="24"/>
        </w:rPr>
        <w:t xml:space="preserve">10,057 </w:t>
      </w:r>
      <w:r w:rsidR="005E2AD1" w:rsidRPr="008B39E1">
        <w:rPr>
          <w:rFonts w:ascii="Times New Roman" w:hAnsi="Times New Roman" w:cs="Times New Roman"/>
          <w:sz w:val="24"/>
          <w:szCs w:val="24"/>
        </w:rPr>
        <w:t xml:space="preserve">firm-year </w:t>
      </w:r>
      <w:r w:rsidR="00F563B1" w:rsidRPr="008B39E1">
        <w:rPr>
          <w:rFonts w:ascii="Times New Roman" w:hAnsi="Times New Roman" w:cs="Times New Roman"/>
          <w:sz w:val="24"/>
          <w:szCs w:val="24"/>
        </w:rPr>
        <w:t>headquarter</w:t>
      </w:r>
      <w:r w:rsidR="00547D18" w:rsidRPr="008B39E1">
        <w:rPr>
          <w:rFonts w:ascii="Times New Roman" w:hAnsi="Times New Roman" w:cs="Times New Roman"/>
          <w:sz w:val="24"/>
          <w:szCs w:val="24"/>
        </w:rPr>
        <w:t>s</w:t>
      </w:r>
      <w:r w:rsidR="00F563B1" w:rsidRPr="008B39E1">
        <w:rPr>
          <w:rFonts w:ascii="Times New Roman" w:hAnsi="Times New Roman" w:cs="Times New Roman"/>
          <w:sz w:val="24"/>
          <w:szCs w:val="24"/>
        </w:rPr>
        <w:t xml:space="preserve"> relocation</w:t>
      </w:r>
      <w:r w:rsidR="005E2AD1" w:rsidRPr="008B39E1">
        <w:rPr>
          <w:rFonts w:ascii="Times New Roman" w:hAnsi="Times New Roman" w:cs="Times New Roman"/>
          <w:sz w:val="24"/>
          <w:szCs w:val="24"/>
        </w:rPr>
        <w:t>s</w:t>
      </w:r>
      <w:r w:rsidR="00F563B1" w:rsidRPr="008B39E1">
        <w:rPr>
          <w:rFonts w:ascii="Times New Roman" w:hAnsi="Times New Roman" w:cs="Times New Roman"/>
          <w:sz w:val="24"/>
          <w:szCs w:val="24"/>
        </w:rPr>
        <w:t xml:space="preserve"> </w:t>
      </w:r>
      <w:r w:rsidR="00452505" w:rsidRPr="008B39E1">
        <w:rPr>
          <w:rFonts w:ascii="Times New Roman" w:hAnsi="Times New Roman" w:cs="Times New Roman"/>
          <w:sz w:val="24"/>
          <w:szCs w:val="24"/>
        </w:rPr>
        <w:t>observations</w:t>
      </w:r>
      <w:r w:rsidR="00547D18" w:rsidRPr="008B39E1">
        <w:rPr>
          <w:rFonts w:ascii="Times New Roman" w:hAnsi="Times New Roman" w:cs="Times New Roman"/>
          <w:sz w:val="24"/>
          <w:szCs w:val="24"/>
        </w:rPr>
        <w:t xml:space="preserve"> </w:t>
      </w:r>
      <w:r w:rsidR="00F563B1" w:rsidRPr="008B39E1">
        <w:rPr>
          <w:rFonts w:ascii="Times New Roman" w:hAnsi="Times New Roman" w:cs="Times New Roman"/>
          <w:sz w:val="24"/>
          <w:szCs w:val="24"/>
        </w:rPr>
        <w:t>described above</w:t>
      </w:r>
      <w:r w:rsidR="00452505" w:rsidRPr="008B39E1">
        <w:rPr>
          <w:rFonts w:ascii="Times New Roman" w:hAnsi="Times New Roman" w:cs="Times New Roman"/>
          <w:sz w:val="24"/>
          <w:szCs w:val="24"/>
        </w:rPr>
        <w:t>. Since we need one pre-relocation year for our analysis</w:t>
      </w:r>
      <w:r w:rsidR="00981B0E" w:rsidRPr="008B39E1">
        <w:rPr>
          <w:rFonts w:ascii="Times New Roman" w:hAnsi="Times New Roman" w:cs="Times New Roman"/>
          <w:sz w:val="24"/>
          <w:szCs w:val="24"/>
        </w:rPr>
        <w:t>, we</w:t>
      </w:r>
      <w:r w:rsidR="00452505" w:rsidRPr="008B39E1">
        <w:rPr>
          <w:rFonts w:ascii="Times New Roman" w:hAnsi="Times New Roman" w:cs="Times New Roman"/>
          <w:sz w:val="24"/>
          <w:szCs w:val="24"/>
        </w:rPr>
        <w:t xml:space="preserve"> start relocations in 2005 </w:t>
      </w:r>
      <w:r w:rsidR="000A4A8B" w:rsidRPr="008B39E1">
        <w:rPr>
          <w:rFonts w:ascii="Times New Roman" w:hAnsi="Times New Roman" w:cs="Times New Roman"/>
          <w:sz w:val="24"/>
          <w:szCs w:val="24"/>
        </w:rPr>
        <w:t>because</w:t>
      </w:r>
      <w:r w:rsidR="00452505" w:rsidRPr="008B39E1">
        <w:rPr>
          <w:rFonts w:ascii="Times New Roman" w:hAnsi="Times New Roman" w:cs="Times New Roman"/>
          <w:sz w:val="24"/>
          <w:szCs w:val="24"/>
        </w:rPr>
        <w:t xml:space="preserve"> SOX </w:t>
      </w:r>
      <w:r w:rsidR="00186E34" w:rsidRPr="008B39E1">
        <w:rPr>
          <w:rFonts w:ascii="Times New Roman" w:hAnsi="Times New Roman" w:cs="Times New Roman"/>
          <w:sz w:val="24"/>
          <w:szCs w:val="24"/>
        </w:rPr>
        <w:t xml:space="preserve">Section </w:t>
      </w:r>
      <w:r w:rsidR="00452505" w:rsidRPr="008B39E1">
        <w:rPr>
          <w:rFonts w:ascii="Times New Roman" w:hAnsi="Times New Roman" w:cs="Times New Roman"/>
          <w:sz w:val="24"/>
          <w:szCs w:val="24"/>
        </w:rPr>
        <w:t>404</w:t>
      </w:r>
      <w:r w:rsidR="00186E34" w:rsidRPr="008B39E1">
        <w:rPr>
          <w:rFonts w:ascii="Times New Roman" w:hAnsi="Times New Roman" w:cs="Times New Roman"/>
          <w:sz w:val="24"/>
          <w:szCs w:val="24"/>
        </w:rPr>
        <w:t>, the auditing standard that required auditor assessments of clients’ internal control effectiveness,</w:t>
      </w:r>
      <w:r w:rsidR="00452505" w:rsidRPr="008B39E1">
        <w:rPr>
          <w:rFonts w:ascii="Times New Roman" w:hAnsi="Times New Roman" w:cs="Times New Roman"/>
          <w:sz w:val="24"/>
          <w:szCs w:val="24"/>
        </w:rPr>
        <w:t xml:space="preserve"> </w:t>
      </w:r>
      <w:r w:rsidR="000A4A8B" w:rsidRPr="008B39E1">
        <w:rPr>
          <w:rFonts w:ascii="Times New Roman" w:hAnsi="Times New Roman" w:cs="Times New Roman"/>
          <w:sz w:val="24"/>
          <w:szCs w:val="24"/>
        </w:rPr>
        <w:t xml:space="preserve">was implemented </w:t>
      </w:r>
      <w:r w:rsidR="00452505" w:rsidRPr="008B39E1">
        <w:rPr>
          <w:rFonts w:ascii="Times New Roman" w:hAnsi="Times New Roman" w:cs="Times New Roman"/>
          <w:sz w:val="24"/>
          <w:szCs w:val="24"/>
        </w:rPr>
        <w:t xml:space="preserve">in 2004. </w:t>
      </w:r>
      <w:r w:rsidR="00F563B1" w:rsidRPr="008B39E1">
        <w:rPr>
          <w:rFonts w:ascii="Times New Roman" w:hAnsi="Times New Roman" w:cs="Times New Roman"/>
          <w:sz w:val="24"/>
          <w:szCs w:val="24"/>
        </w:rPr>
        <w:t>We eliminate</w:t>
      </w:r>
      <w:r w:rsidR="00452505" w:rsidRPr="008B39E1">
        <w:rPr>
          <w:rFonts w:ascii="Times New Roman" w:hAnsi="Times New Roman" w:cs="Times New Roman"/>
          <w:sz w:val="24"/>
          <w:szCs w:val="24"/>
        </w:rPr>
        <w:t xml:space="preserve"> 4,362 firm-year observations </w:t>
      </w:r>
      <w:r w:rsidR="00F563B1" w:rsidRPr="008B39E1">
        <w:rPr>
          <w:rFonts w:ascii="Times New Roman" w:hAnsi="Times New Roman" w:cs="Times New Roman"/>
          <w:sz w:val="24"/>
          <w:szCs w:val="24"/>
        </w:rPr>
        <w:t>which do</w:t>
      </w:r>
      <w:r w:rsidR="00B81138" w:rsidRPr="008B39E1">
        <w:rPr>
          <w:rFonts w:ascii="Times New Roman" w:hAnsi="Times New Roman" w:cs="Times New Roman"/>
          <w:sz w:val="24"/>
          <w:szCs w:val="24"/>
        </w:rPr>
        <w:t xml:space="preserve"> </w:t>
      </w:r>
      <w:r w:rsidR="00452505" w:rsidRPr="008B39E1">
        <w:rPr>
          <w:rFonts w:ascii="Times New Roman" w:hAnsi="Times New Roman" w:cs="Times New Roman"/>
          <w:sz w:val="24"/>
          <w:szCs w:val="24"/>
        </w:rPr>
        <w:t xml:space="preserve">not have the required SOX 404 data in Audit Analytics and/or required </w:t>
      </w:r>
      <w:proofErr w:type="spellStart"/>
      <w:r w:rsidR="00452505" w:rsidRPr="008B39E1">
        <w:rPr>
          <w:rFonts w:ascii="Times New Roman" w:hAnsi="Times New Roman" w:cs="Times New Roman"/>
          <w:sz w:val="24"/>
          <w:szCs w:val="24"/>
        </w:rPr>
        <w:t>Compustat</w:t>
      </w:r>
      <w:proofErr w:type="spellEnd"/>
      <w:r w:rsidR="00452505" w:rsidRPr="008B39E1">
        <w:rPr>
          <w:rFonts w:ascii="Times New Roman" w:hAnsi="Times New Roman" w:cs="Times New Roman"/>
          <w:sz w:val="24"/>
          <w:szCs w:val="24"/>
        </w:rPr>
        <w:t xml:space="preserve"> variables. Next, for each </w:t>
      </w:r>
      <w:proofErr w:type="gramStart"/>
      <w:r w:rsidR="00452505" w:rsidRPr="008B39E1">
        <w:rPr>
          <w:rFonts w:ascii="Times New Roman" w:hAnsi="Times New Roman" w:cs="Times New Roman"/>
          <w:sz w:val="24"/>
          <w:szCs w:val="24"/>
        </w:rPr>
        <w:t>firm</w:t>
      </w:r>
      <w:proofErr w:type="gramEnd"/>
      <w:r w:rsidR="00452505" w:rsidRPr="008B39E1">
        <w:rPr>
          <w:rFonts w:ascii="Times New Roman" w:hAnsi="Times New Roman" w:cs="Times New Roman"/>
          <w:sz w:val="24"/>
          <w:szCs w:val="24"/>
        </w:rPr>
        <w:t xml:space="preserve"> relocation observation, we require one year surrounding the relocation. This means that for every pre-relocation year observation, there must be a corresponding post-relocation year observation and vice versa. We </w:t>
      </w:r>
      <w:r w:rsidR="00981B0E" w:rsidRPr="008B39E1">
        <w:rPr>
          <w:rFonts w:ascii="Times New Roman" w:hAnsi="Times New Roman" w:cs="Times New Roman"/>
          <w:sz w:val="24"/>
          <w:szCs w:val="24"/>
        </w:rPr>
        <w:t>remove</w:t>
      </w:r>
      <w:r w:rsidR="00452505" w:rsidRPr="008B39E1">
        <w:rPr>
          <w:rFonts w:ascii="Times New Roman" w:hAnsi="Times New Roman" w:cs="Times New Roman"/>
          <w:sz w:val="24"/>
          <w:szCs w:val="24"/>
        </w:rPr>
        <w:t xml:space="preserve"> firm</w:t>
      </w:r>
      <w:r w:rsidR="00981B0E" w:rsidRPr="008B39E1">
        <w:rPr>
          <w:rFonts w:ascii="Times New Roman" w:hAnsi="Times New Roman" w:cs="Times New Roman"/>
          <w:sz w:val="24"/>
          <w:szCs w:val="24"/>
        </w:rPr>
        <w:t>s with multiple relocations in consecutive years,</w:t>
      </w:r>
      <w:r w:rsidR="00452505" w:rsidRPr="008B39E1">
        <w:rPr>
          <w:rFonts w:ascii="Times New Roman" w:hAnsi="Times New Roman" w:cs="Times New Roman"/>
          <w:sz w:val="24"/>
          <w:szCs w:val="24"/>
        </w:rPr>
        <w:t xml:space="preserve"> to eliminate the possibility of overlapping pre and post years.</w:t>
      </w:r>
      <w:r w:rsidR="00061DB3" w:rsidRPr="008B39E1">
        <w:rPr>
          <w:rStyle w:val="FootnoteReference"/>
          <w:rFonts w:ascii="Times New Roman" w:hAnsi="Times New Roman" w:cs="Times New Roman"/>
          <w:sz w:val="24"/>
          <w:szCs w:val="24"/>
        </w:rPr>
        <w:footnoteReference w:id="22"/>
      </w:r>
      <w:r w:rsidR="00452505" w:rsidRPr="008B39E1">
        <w:rPr>
          <w:rFonts w:ascii="Times New Roman" w:hAnsi="Times New Roman" w:cs="Times New Roman"/>
          <w:sz w:val="24"/>
          <w:szCs w:val="24"/>
        </w:rPr>
        <w:t xml:space="preserve"> We eliminate 3,837 firm-year observations that do not meet these criteria.</w:t>
      </w:r>
      <w:r w:rsidR="00EF446F" w:rsidRPr="008B39E1">
        <w:rPr>
          <w:rFonts w:ascii="Times New Roman" w:hAnsi="Times New Roman" w:cs="Times New Roman"/>
          <w:sz w:val="24"/>
          <w:szCs w:val="24"/>
        </w:rPr>
        <w:t xml:space="preserve"> We also eliminate 70 firm-year observations with missing </w:t>
      </w:r>
      <w:r w:rsidR="00513992" w:rsidRPr="008B39E1">
        <w:rPr>
          <w:rFonts w:ascii="Times New Roman" w:hAnsi="Times New Roman" w:cs="Times New Roman"/>
          <w:sz w:val="24"/>
          <w:szCs w:val="24"/>
        </w:rPr>
        <w:t xml:space="preserve">control </w:t>
      </w:r>
      <w:r w:rsidR="00513992" w:rsidRPr="008B39E1">
        <w:rPr>
          <w:rFonts w:ascii="Times New Roman" w:hAnsi="Times New Roman" w:cs="Times New Roman"/>
          <w:sz w:val="24"/>
          <w:szCs w:val="24"/>
        </w:rPr>
        <w:lastRenderedPageBreak/>
        <w:t>sample data.</w:t>
      </w:r>
      <w:r w:rsidR="00452505" w:rsidRPr="008B39E1">
        <w:rPr>
          <w:rFonts w:ascii="Times New Roman" w:hAnsi="Times New Roman" w:cs="Times New Roman"/>
          <w:sz w:val="24"/>
          <w:szCs w:val="24"/>
        </w:rPr>
        <w:t xml:space="preserve"> Our final </w:t>
      </w:r>
      <w:r w:rsidR="00981B0E" w:rsidRPr="008B39E1">
        <w:rPr>
          <w:rFonts w:ascii="Times New Roman" w:hAnsi="Times New Roman" w:cs="Times New Roman"/>
          <w:sz w:val="24"/>
          <w:szCs w:val="24"/>
        </w:rPr>
        <w:t xml:space="preserve">relocation </w:t>
      </w:r>
      <w:r w:rsidR="00452505" w:rsidRPr="008B39E1">
        <w:rPr>
          <w:rFonts w:ascii="Times New Roman" w:hAnsi="Times New Roman" w:cs="Times New Roman"/>
          <w:sz w:val="24"/>
          <w:szCs w:val="24"/>
        </w:rPr>
        <w:t xml:space="preserve">sample </w:t>
      </w:r>
      <w:r w:rsidR="000E2BE6" w:rsidRPr="008B39E1">
        <w:rPr>
          <w:rFonts w:ascii="Times New Roman" w:hAnsi="Times New Roman" w:cs="Times New Roman"/>
          <w:sz w:val="24"/>
          <w:szCs w:val="24"/>
        </w:rPr>
        <w:t xml:space="preserve">comprises </w:t>
      </w:r>
      <w:r w:rsidR="00452505" w:rsidRPr="008B39E1">
        <w:rPr>
          <w:rFonts w:ascii="Times New Roman" w:hAnsi="Times New Roman" w:cs="Times New Roman"/>
          <w:sz w:val="24"/>
          <w:szCs w:val="24"/>
        </w:rPr>
        <w:t>1,</w:t>
      </w:r>
      <w:r w:rsidR="00513992" w:rsidRPr="008B39E1">
        <w:rPr>
          <w:rFonts w:ascii="Times New Roman" w:hAnsi="Times New Roman" w:cs="Times New Roman"/>
          <w:sz w:val="24"/>
          <w:szCs w:val="24"/>
        </w:rPr>
        <w:t>788</w:t>
      </w:r>
      <w:r w:rsidR="00452505" w:rsidRPr="008B39E1">
        <w:rPr>
          <w:rFonts w:ascii="Times New Roman" w:hAnsi="Times New Roman" w:cs="Times New Roman"/>
          <w:sz w:val="24"/>
          <w:szCs w:val="24"/>
        </w:rPr>
        <w:t xml:space="preserve"> firm-year observations for </w:t>
      </w:r>
      <w:r w:rsidR="00513992" w:rsidRPr="008B39E1">
        <w:rPr>
          <w:rFonts w:ascii="Times New Roman" w:hAnsi="Times New Roman" w:cs="Times New Roman"/>
          <w:sz w:val="24"/>
          <w:szCs w:val="24"/>
        </w:rPr>
        <w:t xml:space="preserve">894 </w:t>
      </w:r>
      <w:r w:rsidR="00452505" w:rsidRPr="008B39E1">
        <w:rPr>
          <w:rFonts w:ascii="Times New Roman" w:hAnsi="Times New Roman" w:cs="Times New Roman"/>
          <w:sz w:val="24"/>
          <w:szCs w:val="24"/>
        </w:rPr>
        <w:t>unique firms.</w:t>
      </w:r>
      <w:r w:rsidR="00452505" w:rsidRPr="008B39E1">
        <w:rPr>
          <w:rStyle w:val="FootnoteReference"/>
          <w:rFonts w:ascii="Times New Roman" w:hAnsi="Times New Roman" w:cs="Times New Roman"/>
        </w:rPr>
        <w:footnoteReference w:id="23"/>
      </w:r>
      <w:r w:rsidR="00B272B8" w:rsidRPr="008B39E1">
        <w:rPr>
          <w:rFonts w:ascii="Times New Roman" w:hAnsi="Times New Roman" w:cs="Times New Roman"/>
          <w:sz w:val="24"/>
          <w:szCs w:val="24"/>
        </w:rPr>
        <w:t xml:space="preserve"> </w:t>
      </w:r>
    </w:p>
    <w:p w14:paraId="03766F26" w14:textId="52BD0B17" w:rsidR="00265638" w:rsidRPr="008B39E1" w:rsidRDefault="006F2D55"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We construct </w:t>
      </w:r>
      <w:r w:rsidR="00981B0E" w:rsidRPr="008B39E1">
        <w:rPr>
          <w:rFonts w:ascii="Times New Roman" w:hAnsi="Times New Roman" w:cs="Times New Roman"/>
          <w:sz w:val="24"/>
          <w:szCs w:val="24"/>
        </w:rPr>
        <w:t xml:space="preserve">a </w:t>
      </w:r>
      <w:r w:rsidRPr="008B39E1">
        <w:rPr>
          <w:rFonts w:ascii="Times New Roman" w:hAnsi="Times New Roman" w:cs="Times New Roman"/>
          <w:sz w:val="24"/>
          <w:szCs w:val="24"/>
        </w:rPr>
        <w:t xml:space="preserve">control sample by matching </w:t>
      </w:r>
      <w:r w:rsidR="00981B0E" w:rsidRPr="008B39E1">
        <w:rPr>
          <w:rFonts w:ascii="Times New Roman" w:hAnsi="Times New Roman" w:cs="Times New Roman"/>
          <w:sz w:val="24"/>
          <w:szCs w:val="24"/>
        </w:rPr>
        <w:t>the relocation firms</w:t>
      </w:r>
      <w:r w:rsidRPr="008B39E1">
        <w:rPr>
          <w:rFonts w:ascii="Times New Roman" w:hAnsi="Times New Roman" w:cs="Times New Roman"/>
          <w:sz w:val="24"/>
          <w:szCs w:val="24"/>
        </w:rPr>
        <w:t xml:space="preserve"> </w:t>
      </w:r>
      <w:r w:rsidR="00981B0E" w:rsidRPr="008B39E1">
        <w:rPr>
          <w:rFonts w:ascii="Times New Roman" w:hAnsi="Times New Roman" w:cs="Times New Roman"/>
          <w:sz w:val="24"/>
          <w:szCs w:val="24"/>
        </w:rPr>
        <w:t>with non-</w:t>
      </w:r>
      <w:r w:rsidR="00E11E59" w:rsidRPr="008B39E1">
        <w:rPr>
          <w:rFonts w:ascii="Times New Roman" w:hAnsi="Times New Roman" w:cs="Times New Roman"/>
          <w:sz w:val="24"/>
          <w:szCs w:val="24"/>
        </w:rPr>
        <w:t>relocat</w:t>
      </w:r>
      <w:r w:rsidR="005945E2" w:rsidRPr="008B39E1">
        <w:rPr>
          <w:rFonts w:ascii="Times New Roman" w:hAnsi="Times New Roman" w:cs="Times New Roman"/>
          <w:sz w:val="24"/>
          <w:szCs w:val="24"/>
        </w:rPr>
        <w:t xml:space="preserve">ing </w:t>
      </w:r>
      <w:r w:rsidR="00981B0E" w:rsidRPr="008B39E1">
        <w:rPr>
          <w:rFonts w:ascii="Times New Roman" w:hAnsi="Times New Roman" w:cs="Times New Roman"/>
          <w:sz w:val="24"/>
          <w:szCs w:val="24"/>
        </w:rPr>
        <w:t xml:space="preserve">firms </w:t>
      </w:r>
      <w:r w:rsidRPr="008B39E1">
        <w:rPr>
          <w:rFonts w:ascii="Times New Roman" w:hAnsi="Times New Roman" w:cs="Times New Roman"/>
          <w:sz w:val="24"/>
          <w:szCs w:val="24"/>
        </w:rPr>
        <w:t xml:space="preserve">on </w:t>
      </w:r>
      <w:r w:rsidR="008252BE" w:rsidRPr="008B39E1">
        <w:rPr>
          <w:rFonts w:ascii="Times New Roman" w:hAnsi="Times New Roman" w:cs="Times New Roman"/>
          <w:sz w:val="24"/>
          <w:szCs w:val="24"/>
        </w:rPr>
        <w:t xml:space="preserve">year of relocation, closest size, and same SIC </w:t>
      </w:r>
      <w:r w:rsidR="00E9226A" w:rsidRPr="008B39E1">
        <w:rPr>
          <w:rFonts w:ascii="Times New Roman" w:hAnsi="Times New Roman" w:cs="Times New Roman"/>
          <w:sz w:val="24"/>
          <w:szCs w:val="24"/>
        </w:rPr>
        <w:t>two</w:t>
      </w:r>
      <w:r w:rsidR="008252BE" w:rsidRPr="008B39E1">
        <w:rPr>
          <w:rFonts w:ascii="Times New Roman" w:hAnsi="Times New Roman" w:cs="Times New Roman"/>
          <w:sz w:val="24"/>
          <w:szCs w:val="24"/>
        </w:rPr>
        <w:t xml:space="preserve">-digit industry. </w:t>
      </w:r>
      <w:r w:rsidR="005945E2" w:rsidRPr="008B39E1">
        <w:rPr>
          <w:rFonts w:ascii="Times New Roman" w:hAnsi="Times New Roman" w:cs="Times New Roman"/>
          <w:sz w:val="24"/>
          <w:szCs w:val="24"/>
        </w:rPr>
        <w:t xml:space="preserve">The </w:t>
      </w:r>
      <w:r w:rsidR="000667DB" w:rsidRPr="008B39E1">
        <w:rPr>
          <w:rFonts w:ascii="Times New Roman" w:hAnsi="Times New Roman" w:cs="Times New Roman"/>
          <w:sz w:val="24"/>
          <w:szCs w:val="24"/>
        </w:rPr>
        <w:t xml:space="preserve">resulting control sample </w:t>
      </w:r>
      <w:r w:rsidR="005945E2" w:rsidRPr="008B39E1">
        <w:rPr>
          <w:rFonts w:ascii="Times New Roman" w:hAnsi="Times New Roman" w:cs="Times New Roman"/>
          <w:sz w:val="24"/>
          <w:szCs w:val="24"/>
        </w:rPr>
        <w:t xml:space="preserve">has </w:t>
      </w:r>
      <w:r w:rsidR="000667DB" w:rsidRPr="008B39E1">
        <w:rPr>
          <w:rFonts w:ascii="Times New Roman" w:hAnsi="Times New Roman" w:cs="Times New Roman"/>
          <w:sz w:val="24"/>
          <w:szCs w:val="24"/>
        </w:rPr>
        <w:t>1,788 firm-year observations</w:t>
      </w:r>
      <w:r w:rsidR="005945E2" w:rsidRPr="008B39E1">
        <w:rPr>
          <w:rFonts w:ascii="Times New Roman" w:hAnsi="Times New Roman" w:cs="Times New Roman"/>
          <w:sz w:val="24"/>
          <w:szCs w:val="24"/>
        </w:rPr>
        <w:t>, and the</w:t>
      </w:r>
      <w:r w:rsidR="009A64B9" w:rsidRPr="008B39E1">
        <w:rPr>
          <w:rFonts w:ascii="Times New Roman" w:hAnsi="Times New Roman" w:cs="Times New Roman"/>
          <w:sz w:val="24"/>
          <w:szCs w:val="24"/>
        </w:rPr>
        <w:t xml:space="preserve"> final </w:t>
      </w:r>
      <w:r w:rsidR="00F365FF" w:rsidRPr="008B39E1">
        <w:rPr>
          <w:rFonts w:ascii="Times New Roman" w:hAnsi="Times New Roman" w:cs="Times New Roman"/>
          <w:sz w:val="24"/>
          <w:szCs w:val="24"/>
        </w:rPr>
        <w:t xml:space="preserve">full </w:t>
      </w:r>
      <w:r w:rsidR="009A64B9" w:rsidRPr="008B39E1">
        <w:rPr>
          <w:rFonts w:ascii="Times New Roman" w:hAnsi="Times New Roman" w:cs="Times New Roman"/>
          <w:sz w:val="24"/>
          <w:szCs w:val="24"/>
        </w:rPr>
        <w:t xml:space="preserve">sample </w:t>
      </w:r>
      <w:r w:rsidR="005945E2" w:rsidRPr="008B39E1">
        <w:rPr>
          <w:rFonts w:ascii="Times New Roman" w:hAnsi="Times New Roman" w:cs="Times New Roman"/>
          <w:sz w:val="24"/>
          <w:szCs w:val="24"/>
        </w:rPr>
        <w:t xml:space="preserve">comprises </w:t>
      </w:r>
      <w:r w:rsidR="009A64B9" w:rsidRPr="008B39E1">
        <w:rPr>
          <w:rFonts w:ascii="Times New Roman" w:hAnsi="Times New Roman" w:cs="Times New Roman"/>
          <w:sz w:val="24"/>
          <w:szCs w:val="24"/>
        </w:rPr>
        <w:t xml:space="preserve">3,576 firm-year observations. </w:t>
      </w:r>
    </w:p>
    <w:p w14:paraId="29FEF178" w14:textId="38B414C6" w:rsidR="003F7489" w:rsidRPr="008B39E1" w:rsidRDefault="00DC55B9"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Table I</w:t>
      </w:r>
      <w:r w:rsidR="003F7489" w:rsidRPr="008B39E1">
        <w:rPr>
          <w:rFonts w:ascii="Times New Roman" w:hAnsi="Times New Roman" w:cs="Times New Roman"/>
          <w:sz w:val="24"/>
          <w:szCs w:val="24"/>
        </w:rPr>
        <w:t xml:space="preserve">, Panel B, </w:t>
      </w:r>
      <w:r w:rsidR="00753B8B" w:rsidRPr="008B39E1">
        <w:rPr>
          <w:rFonts w:ascii="Times New Roman" w:hAnsi="Times New Roman" w:cs="Times New Roman"/>
          <w:sz w:val="24"/>
          <w:szCs w:val="24"/>
        </w:rPr>
        <w:t xml:space="preserve">shows the </w:t>
      </w:r>
      <w:r w:rsidR="00D24E61" w:rsidRPr="008B39E1">
        <w:rPr>
          <w:rFonts w:ascii="Times New Roman" w:hAnsi="Times New Roman" w:cs="Times New Roman"/>
          <w:sz w:val="24"/>
          <w:szCs w:val="24"/>
        </w:rPr>
        <w:t xml:space="preserve">breakdown of the </w:t>
      </w:r>
      <w:r w:rsidR="00981B0E" w:rsidRPr="008B39E1">
        <w:rPr>
          <w:rFonts w:ascii="Times New Roman" w:hAnsi="Times New Roman" w:cs="Times New Roman"/>
          <w:sz w:val="24"/>
          <w:szCs w:val="24"/>
        </w:rPr>
        <w:t>relocation</w:t>
      </w:r>
      <w:r w:rsidR="00D24E61" w:rsidRPr="008B39E1">
        <w:rPr>
          <w:rFonts w:ascii="Times New Roman" w:hAnsi="Times New Roman" w:cs="Times New Roman"/>
          <w:sz w:val="24"/>
          <w:szCs w:val="24"/>
        </w:rPr>
        <w:t xml:space="preserve"> and </w:t>
      </w:r>
      <w:r w:rsidR="00981B0E" w:rsidRPr="008B39E1">
        <w:rPr>
          <w:rFonts w:ascii="Times New Roman" w:hAnsi="Times New Roman" w:cs="Times New Roman"/>
          <w:sz w:val="24"/>
          <w:szCs w:val="24"/>
        </w:rPr>
        <w:t>non-relocation</w:t>
      </w:r>
      <w:r w:rsidR="00BC3AE6" w:rsidRPr="008B39E1">
        <w:rPr>
          <w:rFonts w:ascii="Times New Roman" w:hAnsi="Times New Roman" w:cs="Times New Roman"/>
          <w:sz w:val="24"/>
          <w:szCs w:val="24"/>
        </w:rPr>
        <w:t xml:space="preserve"> </w:t>
      </w:r>
      <w:r w:rsidR="00D24E61" w:rsidRPr="008B39E1">
        <w:rPr>
          <w:rFonts w:ascii="Times New Roman" w:hAnsi="Times New Roman" w:cs="Times New Roman"/>
          <w:sz w:val="24"/>
          <w:szCs w:val="24"/>
        </w:rPr>
        <w:t xml:space="preserve">samples by Fama-French 12 industries. </w:t>
      </w:r>
      <w:r w:rsidR="00B47CD0" w:rsidRPr="008B39E1">
        <w:rPr>
          <w:rFonts w:ascii="Times New Roman" w:hAnsi="Times New Roman" w:cs="Times New Roman"/>
          <w:sz w:val="24"/>
          <w:szCs w:val="24"/>
        </w:rPr>
        <w:t>Most of our relocating firms belong to the</w:t>
      </w:r>
      <w:r w:rsidR="00CA2EEB" w:rsidRPr="008B39E1">
        <w:rPr>
          <w:rFonts w:ascii="Times New Roman" w:hAnsi="Times New Roman" w:cs="Times New Roman"/>
          <w:sz w:val="24"/>
          <w:szCs w:val="24"/>
        </w:rPr>
        <w:t xml:space="preserve"> business equipment, healthcare, medical equipment, and construction industries. </w:t>
      </w:r>
      <w:r w:rsidR="0023392D" w:rsidRPr="008B39E1">
        <w:rPr>
          <w:rFonts w:ascii="Times New Roman" w:hAnsi="Times New Roman" w:cs="Times New Roman"/>
          <w:sz w:val="24"/>
          <w:szCs w:val="24"/>
        </w:rPr>
        <w:t xml:space="preserve">Chemical and consumer durables industries have the fewest relocating firms. </w:t>
      </w:r>
      <w:r w:rsidR="00525E04" w:rsidRPr="008B39E1">
        <w:rPr>
          <w:rFonts w:ascii="Times New Roman" w:hAnsi="Times New Roman" w:cs="Times New Roman"/>
          <w:sz w:val="24"/>
          <w:szCs w:val="24"/>
        </w:rPr>
        <w:t xml:space="preserve">Overall, </w:t>
      </w:r>
      <w:r w:rsidR="00B96E8F" w:rsidRPr="008B39E1">
        <w:rPr>
          <w:rFonts w:ascii="Times New Roman" w:hAnsi="Times New Roman" w:cs="Times New Roman"/>
          <w:sz w:val="24"/>
          <w:szCs w:val="24"/>
        </w:rPr>
        <w:t xml:space="preserve">the </w:t>
      </w:r>
      <w:r w:rsidR="00E11E59" w:rsidRPr="008B39E1">
        <w:rPr>
          <w:rFonts w:ascii="Times New Roman" w:hAnsi="Times New Roman" w:cs="Times New Roman"/>
          <w:sz w:val="24"/>
          <w:szCs w:val="24"/>
        </w:rPr>
        <w:t>relocation</w:t>
      </w:r>
      <w:r w:rsidR="00BC3AE6" w:rsidRPr="008B39E1">
        <w:rPr>
          <w:rFonts w:ascii="Times New Roman" w:hAnsi="Times New Roman" w:cs="Times New Roman"/>
          <w:sz w:val="24"/>
          <w:szCs w:val="24"/>
        </w:rPr>
        <w:t xml:space="preserve"> </w:t>
      </w:r>
      <w:r w:rsidR="00B96E8F" w:rsidRPr="008B39E1">
        <w:rPr>
          <w:rFonts w:ascii="Times New Roman" w:hAnsi="Times New Roman" w:cs="Times New Roman"/>
          <w:sz w:val="24"/>
          <w:szCs w:val="24"/>
        </w:rPr>
        <w:t xml:space="preserve">and </w:t>
      </w:r>
      <w:r w:rsidR="00E11E59" w:rsidRPr="008B39E1">
        <w:rPr>
          <w:rFonts w:ascii="Times New Roman" w:hAnsi="Times New Roman" w:cs="Times New Roman"/>
          <w:sz w:val="24"/>
          <w:szCs w:val="24"/>
        </w:rPr>
        <w:t xml:space="preserve">non-relocation </w:t>
      </w:r>
      <w:r w:rsidR="00B96E8F" w:rsidRPr="008B39E1">
        <w:rPr>
          <w:rFonts w:ascii="Times New Roman" w:hAnsi="Times New Roman" w:cs="Times New Roman"/>
          <w:sz w:val="24"/>
          <w:szCs w:val="24"/>
        </w:rPr>
        <w:t>samples have similar allocations of industries.</w:t>
      </w:r>
      <w:r w:rsidR="009C3128" w:rsidRPr="008B39E1">
        <w:rPr>
          <w:rFonts w:ascii="Times New Roman" w:hAnsi="Times New Roman" w:cs="Times New Roman"/>
          <w:sz w:val="24"/>
          <w:szCs w:val="24"/>
        </w:rPr>
        <w:t xml:space="preserve"> </w:t>
      </w:r>
      <w:r w:rsidR="00E11E59" w:rsidRPr="008B39E1">
        <w:rPr>
          <w:rFonts w:ascii="Times New Roman" w:hAnsi="Times New Roman" w:cs="Times New Roman"/>
          <w:sz w:val="24"/>
          <w:szCs w:val="24"/>
        </w:rPr>
        <w:t xml:space="preserve">In </w:t>
      </w:r>
      <w:r w:rsidR="009C3128" w:rsidRPr="008B39E1">
        <w:rPr>
          <w:rFonts w:ascii="Times New Roman" w:hAnsi="Times New Roman" w:cs="Times New Roman"/>
          <w:sz w:val="24"/>
          <w:szCs w:val="24"/>
        </w:rPr>
        <w:t>Panel C</w:t>
      </w:r>
      <w:r w:rsidR="00E11E59" w:rsidRPr="008B39E1">
        <w:rPr>
          <w:rFonts w:ascii="Times New Roman" w:hAnsi="Times New Roman" w:cs="Times New Roman"/>
          <w:sz w:val="24"/>
          <w:szCs w:val="24"/>
        </w:rPr>
        <w:t>, descriptive statistics for firm size for the two samples</w:t>
      </w:r>
      <w:r w:rsidR="009C3128" w:rsidRPr="008B39E1">
        <w:rPr>
          <w:rFonts w:ascii="Times New Roman" w:hAnsi="Times New Roman" w:cs="Times New Roman"/>
          <w:sz w:val="24"/>
          <w:szCs w:val="24"/>
        </w:rPr>
        <w:t xml:space="preserve"> </w:t>
      </w:r>
      <w:r w:rsidR="00E11E59" w:rsidRPr="008B39E1">
        <w:rPr>
          <w:rFonts w:ascii="Times New Roman" w:hAnsi="Times New Roman" w:cs="Times New Roman"/>
          <w:sz w:val="24"/>
          <w:szCs w:val="24"/>
        </w:rPr>
        <w:t xml:space="preserve">show the validity of matching the relocating and non-relocating firms on size.  </w:t>
      </w:r>
      <w:r w:rsidR="005945E2" w:rsidRPr="008B39E1">
        <w:rPr>
          <w:rFonts w:ascii="Times New Roman" w:hAnsi="Times New Roman" w:cs="Times New Roman"/>
          <w:sz w:val="24"/>
          <w:szCs w:val="24"/>
        </w:rPr>
        <w:t xml:space="preserve">The </w:t>
      </w:r>
      <w:r w:rsidR="00734A00" w:rsidRPr="008B39E1">
        <w:rPr>
          <w:rFonts w:ascii="Times New Roman" w:hAnsi="Times New Roman" w:cs="Times New Roman"/>
          <w:sz w:val="24"/>
          <w:szCs w:val="24"/>
        </w:rPr>
        <w:t xml:space="preserve">difference </w:t>
      </w:r>
      <w:r w:rsidR="005945E2" w:rsidRPr="008B39E1">
        <w:rPr>
          <w:rFonts w:ascii="Times New Roman" w:hAnsi="Times New Roman" w:cs="Times New Roman"/>
          <w:sz w:val="24"/>
          <w:szCs w:val="24"/>
        </w:rPr>
        <w:t xml:space="preserve">in both means and </w:t>
      </w:r>
      <w:proofErr w:type="gramStart"/>
      <w:r w:rsidR="005945E2" w:rsidRPr="008B39E1">
        <w:rPr>
          <w:rFonts w:ascii="Times New Roman" w:hAnsi="Times New Roman" w:cs="Times New Roman"/>
          <w:sz w:val="24"/>
          <w:szCs w:val="24"/>
        </w:rPr>
        <w:t>median</w:t>
      </w:r>
      <w:proofErr w:type="gramEnd"/>
      <w:r w:rsidR="005945E2" w:rsidRPr="008B39E1">
        <w:rPr>
          <w:rFonts w:ascii="Times New Roman" w:hAnsi="Times New Roman" w:cs="Times New Roman"/>
          <w:sz w:val="24"/>
          <w:szCs w:val="24"/>
        </w:rPr>
        <w:t xml:space="preserve"> </w:t>
      </w:r>
      <w:r w:rsidR="00734A00" w:rsidRPr="008B39E1">
        <w:rPr>
          <w:rFonts w:ascii="Times New Roman" w:hAnsi="Times New Roman" w:cs="Times New Roman"/>
          <w:sz w:val="24"/>
          <w:szCs w:val="24"/>
        </w:rPr>
        <w:t>is not statistically significant.</w:t>
      </w:r>
      <w:r w:rsidR="00514380" w:rsidRPr="008B39E1">
        <w:rPr>
          <w:rFonts w:ascii="Times New Roman" w:hAnsi="Times New Roman" w:cs="Times New Roman"/>
          <w:sz w:val="24"/>
          <w:szCs w:val="24"/>
        </w:rPr>
        <w:t xml:space="preserve"> This supports the appropriateness of our matching criteria.</w:t>
      </w:r>
      <w:r w:rsidR="007A2873" w:rsidRPr="008B39E1">
        <w:rPr>
          <w:rStyle w:val="FootnoteReference"/>
          <w:rFonts w:ascii="Times New Roman" w:hAnsi="Times New Roman" w:cs="Times New Roman"/>
          <w:sz w:val="24"/>
          <w:szCs w:val="24"/>
        </w:rPr>
        <w:footnoteReference w:id="24"/>
      </w:r>
      <w:r w:rsidR="00514380" w:rsidRPr="008B39E1">
        <w:rPr>
          <w:rFonts w:ascii="Times New Roman" w:hAnsi="Times New Roman" w:cs="Times New Roman"/>
          <w:sz w:val="24"/>
          <w:szCs w:val="24"/>
        </w:rPr>
        <w:t xml:space="preserve"> </w:t>
      </w:r>
      <w:r w:rsidR="00734A00" w:rsidRPr="008B39E1">
        <w:rPr>
          <w:rFonts w:ascii="Times New Roman" w:hAnsi="Times New Roman" w:cs="Times New Roman"/>
          <w:sz w:val="24"/>
          <w:szCs w:val="24"/>
        </w:rPr>
        <w:t xml:space="preserve"> </w:t>
      </w:r>
    </w:p>
    <w:p w14:paraId="3D119CE2" w14:textId="1DEE9529" w:rsidR="00AF3400" w:rsidRPr="008B39E1" w:rsidRDefault="00392FE5" w:rsidP="00981B19">
      <w:pPr>
        <w:spacing w:after="0" w:line="480" w:lineRule="auto"/>
        <w:rPr>
          <w:rFonts w:ascii="Times New Roman" w:hAnsi="Times New Roman" w:cs="Times New Roman"/>
          <w:b/>
          <w:bCs/>
          <w:sz w:val="24"/>
          <w:szCs w:val="24"/>
        </w:rPr>
      </w:pPr>
      <w:r w:rsidRPr="008B39E1">
        <w:rPr>
          <w:rFonts w:ascii="Times New Roman" w:hAnsi="Times New Roman" w:cs="Times New Roman"/>
          <w:b/>
          <w:bCs/>
          <w:sz w:val="24"/>
          <w:szCs w:val="24"/>
        </w:rPr>
        <w:t>Relocation Impact on Firms</w:t>
      </w:r>
      <w:r w:rsidR="005945E2" w:rsidRPr="008B39E1">
        <w:rPr>
          <w:rFonts w:ascii="Times New Roman" w:hAnsi="Times New Roman" w:cs="Times New Roman"/>
          <w:b/>
          <w:bCs/>
          <w:sz w:val="24"/>
          <w:szCs w:val="24"/>
        </w:rPr>
        <w:t xml:space="preserve"> </w:t>
      </w:r>
    </w:p>
    <w:p w14:paraId="4DA3787F" w14:textId="15C2384C" w:rsidR="00392FE5" w:rsidRPr="008B39E1" w:rsidRDefault="00392FE5" w:rsidP="00981B19">
      <w:pPr>
        <w:spacing w:after="0" w:line="480" w:lineRule="auto"/>
        <w:rPr>
          <w:rFonts w:ascii="Times New Roman" w:hAnsi="Times New Roman" w:cs="Times New Roman"/>
          <w:sz w:val="24"/>
          <w:szCs w:val="24"/>
        </w:rPr>
      </w:pPr>
      <w:r w:rsidRPr="008B39E1">
        <w:rPr>
          <w:rFonts w:ascii="Times New Roman" w:hAnsi="Times New Roman" w:cs="Times New Roman"/>
          <w:sz w:val="24"/>
          <w:szCs w:val="24"/>
        </w:rPr>
        <w:tab/>
      </w:r>
      <w:r w:rsidR="005536A2" w:rsidRPr="008B39E1">
        <w:rPr>
          <w:rFonts w:ascii="Times New Roman" w:hAnsi="Times New Roman" w:cs="Times New Roman"/>
          <w:sz w:val="24"/>
          <w:szCs w:val="24"/>
        </w:rPr>
        <w:t xml:space="preserve">We </w:t>
      </w:r>
      <w:r w:rsidR="00B34BB1" w:rsidRPr="008B39E1">
        <w:rPr>
          <w:rFonts w:ascii="Times New Roman" w:hAnsi="Times New Roman" w:cs="Times New Roman"/>
          <w:sz w:val="24"/>
          <w:szCs w:val="24"/>
        </w:rPr>
        <w:t xml:space="preserve">posit that </w:t>
      </w:r>
      <w:r w:rsidR="00E64424" w:rsidRPr="008B39E1">
        <w:rPr>
          <w:rFonts w:ascii="Times New Roman" w:hAnsi="Times New Roman" w:cs="Times New Roman"/>
          <w:sz w:val="24"/>
          <w:szCs w:val="24"/>
        </w:rPr>
        <w:t xml:space="preserve">firm relocation engenders disruption among </w:t>
      </w:r>
      <w:r w:rsidR="008716BD" w:rsidRPr="008B39E1">
        <w:rPr>
          <w:rFonts w:ascii="Times New Roman" w:hAnsi="Times New Roman" w:cs="Times New Roman"/>
          <w:sz w:val="24"/>
          <w:szCs w:val="24"/>
        </w:rPr>
        <w:t>employees,</w:t>
      </w:r>
      <w:r w:rsidR="00E64424" w:rsidRPr="008B39E1">
        <w:rPr>
          <w:rFonts w:ascii="Times New Roman" w:hAnsi="Times New Roman" w:cs="Times New Roman"/>
          <w:sz w:val="24"/>
          <w:szCs w:val="24"/>
        </w:rPr>
        <w:t xml:space="preserve"> </w:t>
      </w:r>
      <w:r w:rsidR="007B0132" w:rsidRPr="008B39E1">
        <w:rPr>
          <w:rFonts w:ascii="Times New Roman" w:hAnsi="Times New Roman" w:cs="Times New Roman"/>
          <w:sz w:val="24"/>
          <w:szCs w:val="24"/>
        </w:rPr>
        <w:t>which</w:t>
      </w:r>
      <w:r w:rsidR="00B34BB1" w:rsidRPr="008B39E1">
        <w:rPr>
          <w:rFonts w:ascii="Times New Roman" w:hAnsi="Times New Roman" w:cs="Times New Roman"/>
          <w:sz w:val="24"/>
          <w:szCs w:val="24"/>
        </w:rPr>
        <w:t xml:space="preserve"> </w:t>
      </w:r>
      <w:r w:rsidR="001C1BDE" w:rsidRPr="008B39E1">
        <w:rPr>
          <w:rFonts w:ascii="Times New Roman" w:hAnsi="Times New Roman" w:cs="Times New Roman"/>
          <w:sz w:val="24"/>
          <w:szCs w:val="24"/>
        </w:rPr>
        <w:t>negatively impacts internal control effectiveness</w:t>
      </w:r>
      <w:r w:rsidR="00E64424" w:rsidRPr="008B39E1">
        <w:rPr>
          <w:rFonts w:ascii="Times New Roman" w:hAnsi="Times New Roman" w:cs="Times New Roman"/>
          <w:sz w:val="24"/>
          <w:szCs w:val="24"/>
        </w:rPr>
        <w:t xml:space="preserve">. </w:t>
      </w:r>
      <w:r w:rsidR="00246F1F" w:rsidRPr="008B39E1">
        <w:rPr>
          <w:rFonts w:ascii="Times New Roman" w:hAnsi="Times New Roman" w:cs="Times New Roman"/>
          <w:sz w:val="24"/>
          <w:szCs w:val="24"/>
        </w:rPr>
        <w:t>The extent of disruption depends both on the number</w:t>
      </w:r>
      <w:r w:rsidR="00DA5604" w:rsidRPr="008B39E1">
        <w:rPr>
          <w:rFonts w:ascii="Times New Roman" w:hAnsi="Times New Roman" w:cs="Times New Roman"/>
          <w:sz w:val="24"/>
          <w:szCs w:val="24"/>
        </w:rPr>
        <w:t xml:space="preserve"> of employees</w:t>
      </w:r>
      <w:r w:rsidR="00246F1F" w:rsidRPr="008B39E1">
        <w:rPr>
          <w:rFonts w:ascii="Times New Roman" w:hAnsi="Times New Roman" w:cs="Times New Roman"/>
          <w:sz w:val="24"/>
          <w:szCs w:val="24"/>
        </w:rPr>
        <w:t xml:space="preserve"> that must relocate and, we posit, the change in social capital from between the two destinations. </w:t>
      </w:r>
      <w:r w:rsidR="005F27A0" w:rsidRPr="008B39E1">
        <w:rPr>
          <w:rFonts w:ascii="Times New Roman" w:hAnsi="Times New Roman" w:cs="Times New Roman"/>
          <w:sz w:val="24"/>
          <w:szCs w:val="24"/>
        </w:rPr>
        <w:t xml:space="preserve">To quantify the extent of the disruption </w:t>
      </w:r>
      <w:r w:rsidR="00246F1F" w:rsidRPr="008B39E1">
        <w:rPr>
          <w:rFonts w:ascii="Times New Roman" w:hAnsi="Times New Roman" w:cs="Times New Roman"/>
          <w:sz w:val="24"/>
          <w:szCs w:val="24"/>
        </w:rPr>
        <w:t xml:space="preserve">in </w:t>
      </w:r>
      <w:r w:rsidR="005F27A0" w:rsidRPr="008B39E1">
        <w:rPr>
          <w:rFonts w:ascii="Times New Roman" w:hAnsi="Times New Roman" w:cs="Times New Roman"/>
          <w:sz w:val="24"/>
          <w:szCs w:val="24"/>
        </w:rPr>
        <w:t xml:space="preserve">the employee base, </w:t>
      </w:r>
      <w:r w:rsidR="0093403D" w:rsidRPr="008B39E1">
        <w:rPr>
          <w:rFonts w:ascii="Times New Roman" w:hAnsi="Times New Roman" w:cs="Times New Roman"/>
          <w:sz w:val="24"/>
          <w:szCs w:val="24"/>
        </w:rPr>
        <w:t>we</w:t>
      </w:r>
      <w:r w:rsidR="00D31976" w:rsidRPr="008B39E1">
        <w:rPr>
          <w:rFonts w:ascii="Times New Roman" w:hAnsi="Times New Roman" w:cs="Times New Roman"/>
          <w:sz w:val="24"/>
          <w:szCs w:val="24"/>
        </w:rPr>
        <w:t xml:space="preserve"> </w:t>
      </w:r>
      <w:r w:rsidR="00246F1F" w:rsidRPr="008B39E1">
        <w:rPr>
          <w:rFonts w:ascii="Times New Roman" w:hAnsi="Times New Roman" w:cs="Times New Roman"/>
          <w:sz w:val="24"/>
          <w:szCs w:val="24"/>
        </w:rPr>
        <w:t xml:space="preserve">looked for </w:t>
      </w:r>
      <w:r w:rsidR="00D31976" w:rsidRPr="008B39E1">
        <w:rPr>
          <w:rFonts w:ascii="Times New Roman" w:hAnsi="Times New Roman" w:cs="Times New Roman"/>
          <w:sz w:val="24"/>
          <w:szCs w:val="24"/>
        </w:rPr>
        <w:t xml:space="preserve">data on </w:t>
      </w:r>
      <w:r w:rsidR="008716BD" w:rsidRPr="008B39E1">
        <w:rPr>
          <w:rFonts w:ascii="Times New Roman" w:hAnsi="Times New Roman" w:cs="Times New Roman"/>
          <w:sz w:val="24"/>
          <w:szCs w:val="24"/>
        </w:rPr>
        <w:t>the number</w:t>
      </w:r>
      <w:r w:rsidR="00D31976" w:rsidRPr="008B39E1">
        <w:rPr>
          <w:rFonts w:ascii="Times New Roman" w:hAnsi="Times New Roman" w:cs="Times New Roman"/>
          <w:sz w:val="24"/>
          <w:szCs w:val="24"/>
        </w:rPr>
        <w:t xml:space="preserve"> of </w:t>
      </w:r>
      <w:proofErr w:type="gramStart"/>
      <w:r w:rsidR="00D31976" w:rsidRPr="008B39E1">
        <w:rPr>
          <w:rFonts w:ascii="Times New Roman" w:hAnsi="Times New Roman" w:cs="Times New Roman"/>
          <w:sz w:val="24"/>
          <w:szCs w:val="24"/>
        </w:rPr>
        <w:t>employees,</w:t>
      </w:r>
      <w:proofErr w:type="gramEnd"/>
      <w:r w:rsidR="00D31976" w:rsidRPr="008B39E1">
        <w:rPr>
          <w:rFonts w:ascii="Times New Roman" w:hAnsi="Times New Roman" w:cs="Times New Roman"/>
          <w:sz w:val="24"/>
          <w:szCs w:val="24"/>
        </w:rPr>
        <w:t xml:space="preserve"> or jobs, impacted by the relocation</w:t>
      </w:r>
      <w:r w:rsidR="00246F1F" w:rsidRPr="008B39E1">
        <w:rPr>
          <w:rFonts w:ascii="Times New Roman" w:hAnsi="Times New Roman" w:cs="Times New Roman"/>
          <w:sz w:val="24"/>
          <w:szCs w:val="24"/>
        </w:rPr>
        <w:t xml:space="preserve"> </w:t>
      </w:r>
      <w:r w:rsidR="001D6460" w:rsidRPr="008B39E1">
        <w:rPr>
          <w:rFonts w:ascii="Times New Roman" w:hAnsi="Times New Roman" w:cs="Times New Roman"/>
          <w:sz w:val="24"/>
          <w:szCs w:val="24"/>
        </w:rPr>
        <w:t xml:space="preserve">in </w:t>
      </w:r>
      <w:r w:rsidR="00246F1F" w:rsidRPr="008B39E1">
        <w:rPr>
          <w:rFonts w:ascii="Times New Roman" w:hAnsi="Times New Roman" w:cs="Times New Roman"/>
          <w:sz w:val="24"/>
          <w:szCs w:val="24"/>
        </w:rPr>
        <w:t xml:space="preserve">our sample </w:t>
      </w:r>
      <w:r w:rsidR="00597C12" w:rsidRPr="008B39E1">
        <w:rPr>
          <w:rFonts w:ascii="Times New Roman" w:hAnsi="Times New Roman" w:cs="Times New Roman"/>
          <w:sz w:val="24"/>
          <w:szCs w:val="24"/>
        </w:rPr>
        <w:t xml:space="preserve">of </w:t>
      </w:r>
      <w:r w:rsidR="00246F1F" w:rsidRPr="008B39E1">
        <w:rPr>
          <w:rFonts w:ascii="Times New Roman" w:hAnsi="Times New Roman" w:cs="Times New Roman"/>
          <w:sz w:val="24"/>
          <w:szCs w:val="24"/>
        </w:rPr>
        <w:t>relocating firms</w:t>
      </w:r>
      <w:r w:rsidR="00D31976" w:rsidRPr="008B39E1">
        <w:rPr>
          <w:rFonts w:ascii="Times New Roman" w:hAnsi="Times New Roman" w:cs="Times New Roman"/>
          <w:sz w:val="24"/>
          <w:szCs w:val="24"/>
        </w:rPr>
        <w:t xml:space="preserve">. </w:t>
      </w:r>
      <w:r w:rsidR="00144BF4" w:rsidRPr="008B39E1">
        <w:rPr>
          <w:rFonts w:ascii="Times New Roman" w:hAnsi="Times New Roman" w:cs="Times New Roman"/>
          <w:sz w:val="24"/>
          <w:szCs w:val="24"/>
        </w:rPr>
        <w:t>No</w:t>
      </w:r>
      <w:r w:rsidR="00CA2141" w:rsidRPr="008B39E1">
        <w:rPr>
          <w:rFonts w:ascii="Times New Roman" w:hAnsi="Times New Roman" w:cs="Times New Roman"/>
          <w:sz w:val="24"/>
          <w:szCs w:val="24"/>
        </w:rPr>
        <w:t>t</w:t>
      </w:r>
      <w:r w:rsidR="00144BF4" w:rsidRPr="008B39E1">
        <w:rPr>
          <w:rFonts w:ascii="Times New Roman" w:hAnsi="Times New Roman" w:cs="Times New Roman"/>
          <w:sz w:val="24"/>
          <w:szCs w:val="24"/>
        </w:rPr>
        <w:t xml:space="preserve"> s</w:t>
      </w:r>
      <w:r w:rsidR="00B2302D" w:rsidRPr="008B39E1">
        <w:rPr>
          <w:rFonts w:ascii="Times New Roman" w:hAnsi="Times New Roman" w:cs="Times New Roman"/>
          <w:sz w:val="24"/>
          <w:szCs w:val="24"/>
        </w:rPr>
        <w:t xml:space="preserve">urprisingly, </w:t>
      </w:r>
      <w:r w:rsidR="000A19CB" w:rsidRPr="008B39E1">
        <w:rPr>
          <w:rFonts w:ascii="Times New Roman" w:hAnsi="Times New Roman" w:cs="Times New Roman"/>
          <w:sz w:val="24"/>
          <w:szCs w:val="24"/>
        </w:rPr>
        <w:t xml:space="preserve">relocating </w:t>
      </w:r>
      <w:r w:rsidR="00B2302D" w:rsidRPr="008B39E1">
        <w:rPr>
          <w:rFonts w:ascii="Times New Roman" w:hAnsi="Times New Roman" w:cs="Times New Roman"/>
          <w:sz w:val="24"/>
          <w:szCs w:val="24"/>
        </w:rPr>
        <w:t xml:space="preserve">firms provide sparse details </w:t>
      </w:r>
      <w:r w:rsidR="00AD78AA" w:rsidRPr="008B39E1">
        <w:rPr>
          <w:rFonts w:ascii="Times New Roman" w:hAnsi="Times New Roman" w:cs="Times New Roman"/>
          <w:sz w:val="24"/>
          <w:szCs w:val="24"/>
        </w:rPr>
        <w:t xml:space="preserve">regarding </w:t>
      </w:r>
      <w:r w:rsidR="00B2302D" w:rsidRPr="008B39E1">
        <w:rPr>
          <w:rFonts w:ascii="Times New Roman" w:hAnsi="Times New Roman" w:cs="Times New Roman"/>
          <w:sz w:val="24"/>
          <w:szCs w:val="24"/>
        </w:rPr>
        <w:t>their relocation in</w:t>
      </w:r>
      <w:r w:rsidR="00407CDE" w:rsidRPr="008B39E1">
        <w:rPr>
          <w:rFonts w:ascii="Times New Roman" w:hAnsi="Times New Roman" w:cs="Times New Roman"/>
          <w:sz w:val="24"/>
          <w:szCs w:val="24"/>
        </w:rPr>
        <w:t xml:space="preserve"> quarterly, </w:t>
      </w:r>
      <w:r w:rsidR="00407CDE" w:rsidRPr="008B39E1">
        <w:rPr>
          <w:rFonts w:ascii="Times New Roman" w:hAnsi="Times New Roman" w:cs="Times New Roman"/>
          <w:sz w:val="24"/>
          <w:szCs w:val="24"/>
        </w:rPr>
        <w:lastRenderedPageBreak/>
        <w:t xml:space="preserve">annual, and 8-K </w:t>
      </w:r>
      <w:r w:rsidR="008716BD" w:rsidRPr="008B39E1">
        <w:rPr>
          <w:rFonts w:ascii="Times New Roman" w:hAnsi="Times New Roman" w:cs="Times New Roman"/>
          <w:sz w:val="24"/>
          <w:szCs w:val="24"/>
        </w:rPr>
        <w:t>filings,</w:t>
      </w:r>
      <w:r w:rsidR="00144BF4" w:rsidRPr="008B39E1">
        <w:rPr>
          <w:rFonts w:ascii="Times New Roman" w:hAnsi="Times New Roman" w:cs="Times New Roman"/>
          <w:sz w:val="24"/>
          <w:szCs w:val="24"/>
        </w:rPr>
        <w:t xml:space="preserve"> especially when </w:t>
      </w:r>
      <w:r w:rsidR="000B1577" w:rsidRPr="008B39E1">
        <w:rPr>
          <w:rFonts w:ascii="Times New Roman" w:hAnsi="Times New Roman" w:cs="Times New Roman"/>
          <w:sz w:val="24"/>
          <w:szCs w:val="24"/>
        </w:rPr>
        <w:t>many</w:t>
      </w:r>
      <w:r w:rsidR="00517C16" w:rsidRPr="008B39E1">
        <w:rPr>
          <w:rFonts w:ascii="Times New Roman" w:hAnsi="Times New Roman" w:cs="Times New Roman"/>
          <w:sz w:val="24"/>
          <w:szCs w:val="24"/>
        </w:rPr>
        <w:t xml:space="preserve"> corporate employees are potentially impacted</w:t>
      </w:r>
      <w:r w:rsidR="00407CDE" w:rsidRPr="008B39E1">
        <w:rPr>
          <w:rFonts w:ascii="Times New Roman" w:hAnsi="Times New Roman" w:cs="Times New Roman"/>
          <w:sz w:val="24"/>
          <w:szCs w:val="24"/>
        </w:rPr>
        <w:t>.</w:t>
      </w:r>
      <w:r w:rsidR="00246F1F" w:rsidRPr="008B39E1">
        <w:rPr>
          <w:rStyle w:val="FootnoteReference"/>
          <w:rFonts w:ascii="Times New Roman" w:hAnsi="Times New Roman" w:cs="Times New Roman"/>
          <w:sz w:val="24"/>
          <w:szCs w:val="24"/>
        </w:rPr>
        <w:footnoteReference w:id="25"/>
      </w:r>
      <w:r w:rsidR="006D3D0E" w:rsidRPr="008B39E1">
        <w:rPr>
          <w:rFonts w:ascii="Times New Roman" w:hAnsi="Times New Roman" w:cs="Times New Roman"/>
          <w:sz w:val="24"/>
          <w:szCs w:val="24"/>
        </w:rPr>
        <w:t xml:space="preserve"> </w:t>
      </w:r>
      <w:r w:rsidR="00AE154E" w:rsidRPr="008B39E1">
        <w:rPr>
          <w:rFonts w:ascii="Times New Roman" w:hAnsi="Times New Roman" w:cs="Times New Roman"/>
          <w:sz w:val="24"/>
          <w:szCs w:val="24"/>
        </w:rPr>
        <w:t>Therefore</w:t>
      </w:r>
      <w:r w:rsidR="00A363B7" w:rsidRPr="008B39E1">
        <w:rPr>
          <w:rFonts w:ascii="Times New Roman" w:hAnsi="Times New Roman" w:cs="Times New Roman"/>
          <w:sz w:val="24"/>
          <w:szCs w:val="24"/>
        </w:rPr>
        <w:t xml:space="preserve">, we </w:t>
      </w:r>
      <w:r w:rsidR="00E010D5" w:rsidRPr="008B39E1">
        <w:rPr>
          <w:rFonts w:ascii="Times New Roman" w:hAnsi="Times New Roman" w:cs="Times New Roman"/>
          <w:sz w:val="24"/>
          <w:szCs w:val="24"/>
        </w:rPr>
        <w:t>manually searched Google News for local reporting</w:t>
      </w:r>
      <w:r w:rsidR="00B72A6D" w:rsidRPr="008B39E1">
        <w:rPr>
          <w:rFonts w:ascii="Times New Roman" w:hAnsi="Times New Roman" w:cs="Times New Roman"/>
          <w:sz w:val="24"/>
          <w:szCs w:val="24"/>
        </w:rPr>
        <w:t xml:space="preserve"> for the one year </w:t>
      </w:r>
      <w:r w:rsidR="00E010D5" w:rsidRPr="008B39E1">
        <w:rPr>
          <w:rFonts w:ascii="Times New Roman" w:hAnsi="Times New Roman" w:cs="Times New Roman"/>
          <w:sz w:val="24"/>
          <w:szCs w:val="24"/>
        </w:rPr>
        <w:t xml:space="preserve">around the time of </w:t>
      </w:r>
      <w:r w:rsidR="00086237" w:rsidRPr="008B39E1">
        <w:rPr>
          <w:rFonts w:ascii="Times New Roman" w:hAnsi="Times New Roman" w:cs="Times New Roman"/>
          <w:sz w:val="24"/>
          <w:szCs w:val="24"/>
        </w:rPr>
        <w:t xml:space="preserve">the </w:t>
      </w:r>
      <w:r w:rsidR="00E010D5" w:rsidRPr="008B39E1">
        <w:rPr>
          <w:rFonts w:ascii="Times New Roman" w:hAnsi="Times New Roman" w:cs="Times New Roman"/>
          <w:sz w:val="24"/>
          <w:szCs w:val="24"/>
        </w:rPr>
        <w:t>firm relocation.</w:t>
      </w:r>
      <w:r w:rsidR="001611FF" w:rsidRPr="008B39E1">
        <w:rPr>
          <w:rFonts w:ascii="Times New Roman" w:hAnsi="Times New Roman" w:cs="Times New Roman"/>
          <w:sz w:val="24"/>
          <w:szCs w:val="24"/>
        </w:rPr>
        <w:t xml:space="preserve"> We found local news articles for 176 of </w:t>
      </w:r>
      <w:r w:rsidR="001622AC" w:rsidRPr="008B39E1">
        <w:rPr>
          <w:rFonts w:ascii="Times New Roman" w:hAnsi="Times New Roman" w:cs="Times New Roman"/>
          <w:sz w:val="24"/>
          <w:szCs w:val="24"/>
        </w:rPr>
        <w:t>our 894 relocating firm</w:t>
      </w:r>
      <w:r w:rsidR="000625A5" w:rsidRPr="008B39E1">
        <w:rPr>
          <w:rFonts w:ascii="Times New Roman" w:hAnsi="Times New Roman" w:cs="Times New Roman"/>
          <w:sz w:val="24"/>
          <w:szCs w:val="24"/>
        </w:rPr>
        <w:t>s</w:t>
      </w:r>
      <w:r w:rsidR="0014421E" w:rsidRPr="008B39E1">
        <w:rPr>
          <w:rFonts w:ascii="Times New Roman" w:hAnsi="Times New Roman" w:cs="Times New Roman"/>
          <w:sz w:val="24"/>
          <w:szCs w:val="24"/>
        </w:rPr>
        <w:t xml:space="preserve">. </w:t>
      </w:r>
      <w:r w:rsidR="001C1ACD" w:rsidRPr="008B39E1">
        <w:rPr>
          <w:rFonts w:ascii="Times New Roman" w:hAnsi="Times New Roman" w:cs="Times New Roman"/>
          <w:sz w:val="24"/>
          <w:szCs w:val="24"/>
        </w:rPr>
        <w:t xml:space="preserve">Of these, 150 </w:t>
      </w:r>
      <w:r w:rsidR="00463C99" w:rsidRPr="008B39E1">
        <w:rPr>
          <w:rFonts w:ascii="Times New Roman" w:hAnsi="Times New Roman" w:cs="Times New Roman"/>
          <w:sz w:val="24"/>
          <w:szCs w:val="24"/>
        </w:rPr>
        <w:t xml:space="preserve">local </w:t>
      </w:r>
      <w:r w:rsidR="00A615FD" w:rsidRPr="008B39E1">
        <w:rPr>
          <w:rFonts w:ascii="Times New Roman" w:hAnsi="Times New Roman" w:cs="Times New Roman"/>
          <w:sz w:val="24"/>
          <w:szCs w:val="24"/>
        </w:rPr>
        <w:t xml:space="preserve">news </w:t>
      </w:r>
      <w:r w:rsidR="008716BD" w:rsidRPr="008B39E1">
        <w:rPr>
          <w:rFonts w:ascii="Times New Roman" w:hAnsi="Times New Roman" w:cs="Times New Roman"/>
          <w:sz w:val="24"/>
          <w:szCs w:val="24"/>
        </w:rPr>
        <w:t>reports</w:t>
      </w:r>
      <w:r w:rsidR="00463C99" w:rsidRPr="008B39E1">
        <w:rPr>
          <w:rFonts w:ascii="Times New Roman" w:hAnsi="Times New Roman" w:cs="Times New Roman"/>
          <w:sz w:val="24"/>
          <w:szCs w:val="24"/>
        </w:rPr>
        <w:t xml:space="preserve"> provided details about the number of jobs relocated, jobs lost, and/or jobs gained at the new location. </w:t>
      </w:r>
      <w:r w:rsidR="009D7D40" w:rsidRPr="008B39E1">
        <w:rPr>
          <w:rFonts w:ascii="Times New Roman" w:hAnsi="Times New Roman" w:cs="Times New Roman"/>
          <w:sz w:val="24"/>
          <w:szCs w:val="24"/>
        </w:rPr>
        <w:t>The mean (median) jobs relocated are 319.5 (150)</w:t>
      </w:r>
      <w:r w:rsidR="00B60F39" w:rsidRPr="008B39E1">
        <w:rPr>
          <w:rFonts w:ascii="Times New Roman" w:hAnsi="Times New Roman" w:cs="Times New Roman"/>
          <w:sz w:val="24"/>
          <w:szCs w:val="24"/>
        </w:rPr>
        <w:t xml:space="preserve">. </w:t>
      </w:r>
      <w:r w:rsidR="00AE154E" w:rsidRPr="008B39E1">
        <w:rPr>
          <w:rFonts w:ascii="Times New Roman" w:hAnsi="Times New Roman" w:cs="Times New Roman"/>
          <w:sz w:val="24"/>
          <w:szCs w:val="24"/>
        </w:rPr>
        <w:t>Unfortunately</w:t>
      </w:r>
      <w:r w:rsidR="00267CAA" w:rsidRPr="008B39E1">
        <w:rPr>
          <w:rFonts w:ascii="Times New Roman" w:hAnsi="Times New Roman" w:cs="Times New Roman"/>
          <w:sz w:val="24"/>
          <w:szCs w:val="24"/>
        </w:rPr>
        <w:t>,</w:t>
      </w:r>
      <w:r w:rsidR="00AE154E" w:rsidRPr="008B39E1">
        <w:rPr>
          <w:rFonts w:ascii="Times New Roman" w:hAnsi="Times New Roman" w:cs="Times New Roman"/>
          <w:sz w:val="24"/>
          <w:szCs w:val="24"/>
        </w:rPr>
        <w:t xml:space="preserve"> the sample size is too small for estimation of our empirical models. However</w:t>
      </w:r>
      <w:r w:rsidR="0056255F" w:rsidRPr="008B39E1">
        <w:rPr>
          <w:rFonts w:ascii="Times New Roman" w:hAnsi="Times New Roman" w:cs="Times New Roman"/>
          <w:sz w:val="24"/>
          <w:szCs w:val="24"/>
        </w:rPr>
        <w:t>, t</w:t>
      </w:r>
      <w:r w:rsidR="007E2286" w:rsidRPr="008B39E1">
        <w:rPr>
          <w:rFonts w:ascii="Times New Roman" w:hAnsi="Times New Roman" w:cs="Times New Roman"/>
          <w:sz w:val="24"/>
          <w:szCs w:val="24"/>
        </w:rPr>
        <w:t xml:space="preserve">he </w:t>
      </w:r>
      <w:proofErr w:type="spellStart"/>
      <w:r w:rsidR="00AF19A3" w:rsidRPr="008B39E1">
        <w:rPr>
          <w:rFonts w:ascii="Times New Roman" w:hAnsi="Times New Roman" w:cs="Times New Roman"/>
          <w:i/>
          <w:iCs/>
          <w:sz w:val="24"/>
          <w:szCs w:val="24"/>
        </w:rPr>
        <w:t>ICINEFF</w:t>
      </w:r>
      <w:proofErr w:type="spellEnd"/>
      <w:r w:rsidR="00AF19A3" w:rsidRPr="008B39E1">
        <w:rPr>
          <w:rFonts w:ascii="Times New Roman" w:hAnsi="Times New Roman" w:cs="Times New Roman"/>
          <w:sz w:val="24"/>
          <w:szCs w:val="24"/>
        </w:rPr>
        <w:t xml:space="preserve"> </w:t>
      </w:r>
      <w:r w:rsidR="00FE7E65" w:rsidRPr="008B39E1">
        <w:rPr>
          <w:rFonts w:ascii="Times New Roman" w:hAnsi="Times New Roman" w:cs="Times New Roman"/>
          <w:sz w:val="24"/>
          <w:szCs w:val="24"/>
        </w:rPr>
        <w:t>rates for</w:t>
      </w:r>
      <w:r w:rsidR="005D689E" w:rsidRPr="008B39E1">
        <w:rPr>
          <w:rFonts w:ascii="Times New Roman" w:hAnsi="Times New Roman" w:cs="Times New Roman"/>
          <w:sz w:val="24"/>
          <w:szCs w:val="24"/>
        </w:rPr>
        <w:t xml:space="preserve"> pre- and post-relocation are 6.0% and 8.7%, respectively, </w:t>
      </w:r>
      <w:r w:rsidR="0056255F" w:rsidRPr="008B39E1">
        <w:rPr>
          <w:rFonts w:ascii="Times New Roman" w:hAnsi="Times New Roman" w:cs="Times New Roman"/>
          <w:sz w:val="24"/>
          <w:szCs w:val="24"/>
        </w:rPr>
        <w:t>suggesting a negative impact of relocation on internal control quality</w:t>
      </w:r>
      <w:r w:rsidR="00CA4958" w:rsidRPr="008B39E1">
        <w:rPr>
          <w:rFonts w:ascii="Times New Roman" w:hAnsi="Times New Roman" w:cs="Times New Roman"/>
          <w:sz w:val="24"/>
          <w:szCs w:val="24"/>
        </w:rPr>
        <w:t xml:space="preserve">. </w:t>
      </w:r>
      <w:r w:rsidR="005453E0" w:rsidRPr="008B39E1">
        <w:rPr>
          <w:rFonts w:ascii="Times New Roman" w:hAnsi="Times New Roman" w:cs="Times New Roman"/>
          <w:sz w:val="24"/>
          <w:szCs w:val="24"/>
        </w:rPr>
        <w:t xml:space="preserve">Furthermore, </w:t>
      </w:r>
      <w:r w:rsidR="0083050A" w:rsidRPr="008B39E1">
        <w:rPr>
          <w:rFonts w:ascii="Times New Roman" w:hAnsi="Times New Roman" w:cs="Times New Roman"/>
          <w:sz w:val="24"/>
          <w:szCs w:val="24"/>
        </w:rPr>
        <w:t>45.3% of these firms experienced social capital changes with their relocations.</w:t>
      </w:r>
      <w:r w:rsidR="00E86244" w:rsidRPr="008B39E1">
        <w:rPr>
          <w:rFonts w:ascii="Times New Roman" w:hAnsi="Times New Roman" w:cs="Times New Roman"/>
          <w:sz w:val="24"/>
          <w:szCs w:val="24"/>
        </w:rPr>
        <w:t xml:space="preserve"> </w:t>
      </w:r>
    </w:p>
    <w:p w14:paraId="75A0EB1C" w14:textId="4FFBE5C2" w:rsidR="00A53ED3" w:rsidRPr="008B39E1" w:rsidRDefault="00A53ED3" w:rsidP="00981B19">
      <w:pPr>
        <w:spacing w:after="0" w:line="480" w:lineRule="auto"/>
        <w:rPr>
          <w:rFonts w:ascii="Times New Roman" w:hAnsi="Times New Roman" w:cs="Times New Roman"/>
          <w:sz w:val="24"/>
          <w:szCs w:val="24"/>
        </w:rPr>
      </w:pPr>
      <w:r w:rsidRPr="008B39E1">
        <w:rPr>
          <w:rFonts w:ascii="Times New Roman" w:hAnsi="Times New Roman" w:cs="Times New Roman"/>
          <w:b/>
          <w:bCs/>
          <w:sz w:val="24"/>
          <w:szCs w:val="24"/>
        </w:rPr>
        <w:t>Descriptive Statistics</w:t>
      </w:r>
    </w:p>
    <w:p w14:paraId="07F3F7FA" w14:textId="61CB9DFC" w:rsidR="003634DD" w:rsidRPr="008B39E1" w:rsidRDefault="00DC55B9"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Table II</w:t>
      </w:r>
      <w:r w:rsidR="002D4F40" w:rsidRPr="008B39E1">
        <w:rPr>
          <w:rFonts w:ascii="Times New Roman" w:hAnsi="Times New Roman" w:cs="Times New Roman"/>
          <w:sz w:val="24"/>
          <w:szCs w:val="24"/>
        </w:rPr>
        <w:t>, Panel A</w:t>
      </w:r>
      <w:r w:rsidR="00337E7A" w:rsidRPr="008B39E1">
        <w:rPr>
          <w:rFonts w:ascii="Times New Roman" w:hAnsi="Times New Roman" w:cs="Times New Roman"/>
          <w:sz w:val="24"/>
          <w:szCs w:val="24"/>
        </w:rPr>
        <w:t>, which</w:t>
      </w:r>
      <w:r w:rsidR="00452505" w:rsidRPr="008B39E1">
        <w:rPr>
          <w:rFonts w:ascii="Times New Roman" w:hAnsi="Times New Roman" w:cs="Times New Roman"/>
          <w:sz w:val="24"/>
          <w:szCs w:val="24"/>
        </w:rPr>
        <w:t xml:space="preserve"> presents the </w:t>
      </w:r>
      <w:r w:rsidR="00337E7A" w:rsidRPr="008B39E1">
        <w:rPr>
          <w:rFonts w:ascii="Times New Roman" w:hAnsi="Times New Roman" w:cs="Times New Roman"/>
          <w:sz w:val="24"/>
          <w:szCs w:val="24"/>
        </w:rPr>
        <w:t xml:space="preserve">frequency </w:t>
      </w:r>
      <w:r w:rsidR="00452505" w:rsidRPr="008B39E1">
        <w:rPr>
          <w:rFonts w:ascii="Times New Roman" w:hAnsi="Times New Roman" w:cs="Times New Roman"/>
          <w:sz w:val="24"/>
          <w:szCs w:val="24"/>
        </w:rPr>
        <w:t>for</w:t>
      </w:r>
      <w:r w:rsidR="00337E7A" w:rsidRPr="008B39E1">
        <w:rPr>
          <w:rFonts w:ascii="Times New Roman" w:hAnsi="Times New Roman" w:cs="Times New Roman"/>
          <w:sz w:val="24"/>
          <w:szCs w:val="24"/>
        </w:rPr>
        <w:t xml:space="preserve"> ineffective internal control</w:t>
      </w:r>
      <w:r w:rsidR="009A22C4" w:rsidRPr="008B39E1">
        <w:rPr>
          <w:rFonts w:ascii="Times New Roman" w:hAnsi="Times New Roman" w:cs="Times New Roman"/>
          <w:sz w:val="24"/>
          <w:szCs w:val="24"/>
        </w:rPr>
        <w:t xml:space="preserve"> </w:t>
      </w:r>
      <w:r w:rsidR="009664C2" w:rsidRPr="008B39E1">
        <w:rPr>
          <w:rFonts w:ascii="Times New Roman" w:hAnsi="Times New Roman" w:cs="Times New Roman"/>
          <w:sz w:val="24"/>
          <w:szCs w:val="24"/>
        </w:rPr>
        <w:t>(</w:t>
      </w:r>
      <w:proofErr w:type="spellStart"/>
      <w:r w:rsidR="009A22C4" w:rsidRPr="008B39E1">
        <w:rPr>
          <w:rFonts w:ascii="Times New Roman" w:hAnsi="Times New Roman" w:cs="Times New Roman"/>
          <w:i/>
          <w:iCs/>
          <w:sz w:val="24"/>
          <w:szCs w:val="24"/>
        </w:rPr>
        <w:t>ICINEFF</w:t>
      </w:r>
      <w:proofErr w:type="spellEnd"/>
      <w:r w:rsidR="009664C2" w:rsidRPr="008B39E1">
        <w:rPr>
          <w:rFonts w:ascii="Times New Roman" w:hAnsi="Times New Roman" w:cs="Times New Roman"/>
          <w:sz w:val="24"/>
          <w:szCs w:val="24"/>
        </w:rPr>
        <w:t>)</w:t>
      </w:r>
      <w:r w:rsidR="00B94735" w:rsidRPr="008B39E1">
        <w:rPr>
          <w:rFonts w:ascii="Times New Roman" w:hAnsi="Times New Roman" w:cs="Times New Roman"/>
          <w:sz w:val="24"/>
          <w:szCs w:val="24"/>
        </w:rPr>
        <w:t xml:space="preserve"> for the full sample</w:t>
      </w:r>
      <w:r w:rsidR="0001213D" w:rsidRPr="008B39E1">
        <w:rPr>
          <w:rFonts w:ascii="Times New Roman" w:hAnsi="Times New Roman" w:cs="Times New Roman"/>
          <w:sz w:val="24"/>
          <w:szCs w:val="24"/>
        </w:rPr>
        <w:t>,</w:t>
      </w:r>
      <w:r w:rsidR="00F83AD0" w:rsidRPr="008B39E1">
        <w:rPr>
          <w:rFonts w:ascii="Times New Roman" w:hAnsi="Times New Roman" w:cs="Times New Roman"/>
          <w:i/>
          <w:iCs/>
          <w:sz w:val="24"/>
          <w:szCs w:val="24"/>
        </w:rPr>
        <w:t xml:space="preserve"> </w:t>
      </w:r>
      <w:r w:rsidR="00337E7A" w:rsidRPr="008B39E1">
        <w:rPr>
          <w:rFonts w:ascii="Times New Roman" w:hAnsi="Times New Roman" w:cs="Times New Roman"/>
          <w:sz w:val="24"/>
          <w:szCs w:val="24"/>
        </w:rPr>
        <w:t xml:space="preserve">shows that </w:t>
      </w:r>
      <w:r w:rsidR="00282205" w:rsidRPr="008B39E1">
        <w:rPr>
          <w:rFonts w:ascii="Times New Roman" w:hAnsi="Times New Roman" w:cs="Times New Roman"/>
          <w:sz w:val="24"/>
          <w:szCs w:val="24"/>
        </w:rPr>
        <w:t>669</w:t>
      </w:r>
      <w:r w:rsidR="009C0A75" w:rsidRPr="008B39E1">
        <w:rPr>
          <w:rFonts w:ascii="Times New Roman" w:hAnsi="Times New Roman" w:cs="Times New Roman"/>
          <w:sz w:val="24"/>
          <w:szCs w:val="24"/>
        </w:rPr>
        <w:t xml:space="preserve"> firm-year observations reported </w:t>
      </w:r>
      <w:proofErr w:type="spellStart"/>
      <w:r w:rsidR="009C0A75" w:rsidRPr="008B39E1">
        <w:rPr>
          <w:rFonts w:ascii="Times New Roman" w:hAnsi="Times New Roman" w:cs="Times New Roman"/>
          <w:i/>
          <w:iCs/>
          <w:sz w:val="24"/>
          <w:szCs w:val="24"/>
        </w:rPr>
        <w:t>ICINEFF</w:t>
      </w:r>
      <w:proofErr w:type="spellEnd"/>
      <w:r w:rsidR="00337E7A" w:rsidRPr="008B39E1">
        <w:rPr>
          <w:rFonts w:ascii="Times New Roman" w:hAnsi="Times New Roman" w:cs="Times New Roman"/>
          <w:i/>
          <w:iCs/>
          <w:sz w:val="24"/>
          <w:szCs w:val="24"/>
        </w:rPr>
        <w:t xml:space="preserve">. </w:t>
      </w:r>
      <w:r w:rsidR="00337E7A" w:rsidRPr="008B39E1">
        <w:rPr>
          <w:rFonts w:ascii="Times New Roman" w:hAnsi="Times New Roman" w:cs="Times New Roman"/>
          <w:sz w:val="24"/>
          <w:szCs w:val="24"/>
        </w:rPr>
        <w:t>Prior research</w:t>
      </w:r>
      <w:r w:rsidR="00337E7A" w:rsidRPr="008B39E1">
        <w:rPr>
          <w:rFonts w:ascii="Times New Roman" w:hAnsi="Times New Roman" w:cs="Times New Roman"/>
          <w:i/>
          <w:iCs/>
          <w:sz w:val="24"/>
          <w:szCs w:val="24"/>
        </w:rPr>
        <w:t xml:space="preserve"> </w:t>
      </w:r>
      <w:r w:rsidR="00337E7A" w:rsidRPr="008B39E1">
        <w:rPr>
          <w:rFonts w:ascii="Times New Roman" w:hAnsi="Times New Roman" w:cs="Times New Roman"/>
          <w:sz w:val="24"/>
          <w:szCs w:val="24"/>
        </w:rPr>
        <w:t>categorizes material weaknesses into entity</w:t>
      </w:r>
      <w:r w:rsidR="0009563A" w:rsidRPr="008B39E1">
        <w:rPr>
          <w:rFonts w:ascii="Times New Roman" w:hAnsi="Times New Roman" w:cs="Times New Roman"/>
          <w:sz w:val="24"/>
          <w:szCs w:val="24"/>
        </w:rPr>
        <w:t>-level</w:t>
      </w:r>
      <w:r w:rsidR="00337E7A" w:rsidRPr="008B39E1">
        <w:rPr>
          <w:rFonts w:ascii="Times New Roman" w:hAnsi="Times New Roman" w:cs="Times New Roman"/>
          <w:sz w:val="24"/>
          <w:szCs w:val="24"/>
        </w:rPr>
        <w:t xml:space="preserve"> and account-specific material weaknesses. Following this literature, we examined the nature of the material weaknesses in our sample. We find that</w:t>
      </w:r>
      <w:r w:rsidR="00733B22" w:rsidRPr="008B39E1">
        <w:rPr>
          <w:rFonts w:ascii="Times New Roman" w:hAnsi="Times New Roman" w:cs="Times New Roman"/>
          <w:sz w:val="24"/>
          <w:szCs w:val="24"/>
        </w:rPr>
        <w:t xml:space="preserve"> </w:t>
      </w:r>
      <w:r w:rsidR="008A2643" w:rsidRPr="008B39E1">
        <w:rPr>
          <w:rFonts w:ascii="Times New Roman" w:hAnsi="Times New Roman" w:cs="Times New Roman"/>
          <w:sz w:val="24"/>
          <w:szCs w:val="24"/>
        </w:rPr>
        <w:t xml:space="preserve">almost </w:t>
      </w:r>
      <w:proofErr w:type="gramStart"/>
      <w:r w:rsidR="008A2643" w:rsidRPr="008B39E1">
        <w:rPr>
          <w:rFonts w:ascii="Times New Roman" w:hAnsi="Times New Roman" w:cs="Times New Roman"/>
          <w:sz w:val="24"/>
          <w:szCs w:val="24"/>
        </w:rPr>
        <w:t>all</w:t>
      </w:r>
      <w:r w:rsidR="00B43213" w:rsidRPr="008B39E1">
        <w:rPr>
          <w:rFonts w:ascii="Times New Roman" w:hAnsi="Times New Roman" w:cs="Times New Roman"/>
          <w:sz w:val="24"/>
          <w:szCs w:val="24"/>
        </w:rPr>
        <w:t xml:space="preserve"> of</w:t>
      </w:r>
      <w:proofErr w:type="gramEnd"/>
      <w:r w:rsidR="00B43213" w:rsidRPr="008B39E1">
        <w:rPr>
          <w:rFonts w:ascii="Times New Roman" w:hAnsi="Times New Roman" w:cs="Times New Roman"/>
          <w:sz w:val="24"/>
          <w:szCs w:val="24"/>
        </w:rPr>
        <w:t xml:space="preserve"> the</w:t>
      </w:r>
      <w:r w:rsidR="009C0A75" w:rsidRPr="008B39E1">
        <w:rPr>
          <w:rFonts w:ascii="Times New Roman" w:hAnsi="Times New Roman" w:cs="Times New Roman"/>
          <w:sz w:val="24"/>
          <w:szCs w:val="24"/>
        </w:rPr>
        <w:t xml:space="preserve"> </w:t>
      </w:r>
      <w:r w:rsidR="00282205" w:rsidRPr="008B39E1">
        <w:rPr>
          <w:rFonts w:ascii="Times New Roman" w:hAnsi="Times New Roman" w:cs="Times New Roman"/>
          <w:sz w:val="24"/>
          <w:szCs w:val="24"/>
        </w:rPr>
        <w:t>654</w:t>
      </w:r>
      <w:r w:rsidR="000920A5" w:rsidRPr="008B39E1">
        <w:rPr>
          <w:rFonts w:ascii="Times New Roman" w:hAnsi="Times New Roman" w:cs="Times New Roman"/>
          <w:sz w:val="24"/>
          <w:szCs w:val="24"/>
        </w:rPr>
        <w:t xml:space="preserve"> firm-year observations had both entity</w:t>
      </w:r>
      <w:r w:rsidR="004072DC" w:rsidRPr="008B39E1">
        <w:rPr>
          <w:rFonts w:ascii="Times New Roman" w:hAnsi="Times New Roman" w:cs="Times New Roman"/>
          <w:sz w:val="24"/>
          <w:szCs w:val="24"/>
        </w:rPr>
        <w:t>-level</w:t>
      </w:r>
      <w:r w:rsidR="000920A5" w:rsidRPr="008B39E1">
        <w:rPr>
          <w:rFonts w:ascii="Times New Roman" w:hAnsi="Times New Roman" w:cs="Times New Roman"/>
          <w:sz w:val="24"/>
          <w:szCs w:val="24"/>
        </w:rPr>
        <w:t xml:space="preserve"> and account-</w:t>
      </w:r>
      <w:r w:rsidR="00733B22" w:rsidRPr="008B39E1">
        <w:rPr>
          <w:rFonts w:ascii="Times New Roman" w:hAnsi="Times New Roman" w:cs="Times New Roman"/>
          <w:sz w:val="24"/>
          <w:szCs w:val="24"/>
        </w:rPr>
        <w:t>specific</w:t>
      </w:r>
      <w:r w:rsidR="004072DC" w:rsidRPr="008B39E1">
        <w:rPr>
          <w:rFonts w:ascii="Times New Roman" w:hAnsi="Times New Roman" w:cs="Times New Roman"/>
          <w:sz w:val="24"/>
          <w:szCs w:val="24"/>
        </w:rPr>
        <w:t xml:space="preserve"> </w:t>
      </w:r>
      <w:r w:rsidR="00733B22" w:rsidRPr="008B39E1">
        <w:rPr>
          <w:rFonts w:ascii="Times New Roman" w:hAnsi="Times New Roman" w:cs="Times New Roman"/>
          <w:sz w:val="24"/>
          <w:szCs w:val="24"/>
        </w:rPr>
        <w:t>weaknesses</w:t>
      </w:r>
      <w:r w:rsidR="000920A5" w:rsidRPr="008B39E1">
        <w:rPr>
          <w:rFonts w:ascii="Times New Roman" w:hAnsi="Times New Roman" w:cs="Times New Roman"/>
          <w:sz w:val="24"/>
          <w:szCs w:val="24"/>
        </w:rPr>
        <w:t>. Only 1</w:t>
      </w:r>
      <w:r w:rsidR="00282205" w:rsidRPr="008B39E1">
        <w:rPr>
          <w:rFonts w:ascii="Times New Roman" w:hAnsi="Times New Roman" w:cs="Times New Roman"/>
          <w:sz w:val="24"/>
          <w:szCs w:val="24"/>
        </w:rPr>
        <w:t>5</w:t>
      </w:r>
      <w:r w:rsidR="000920A5" w:rsidRPr="008B39E1">
        <w:rPr>
          <w:rFonts w:ascii="Times New Roman" w:hAnsi="Times New Roman" w:cs="Times New Roman"/>
          <w:sz w:val="24"/>
          <w:szCs w:val="24"/>
        </w:rPr>
        <w:t xml:space="preserve"> firm-year observations reported entity-level only </w:t>
      </w:r>
      <w:proofErr w:type="spellStart"/>
      <w:r w:rsidR="000920A5" w:rsidRPr="008B39E1">
        <w:rPr>
          <w:rFonts w:ascii="Times New Roman" w:hAnsi="Times New Roman" w:cs="Times New Roman"/>
          <w:i/>
          <w:iCs/>
          <w:sz w:val="24"/>
          <w:szCs w:val="24"/>
        </w:rPr>
        <w:t>ICINEFF</w:t>
      </w:r>
      <w:proofErr w:type="spellEnd"/>
      <w:r w:rsidR="000920A5" w:rsidRPr="008B39E1">
        <w:rPr>
          <w:rFonts w:ascii="Times New Roman" w:hAnsi="Times New Roman" w:cs="Times New Roman"/>
          <w:sz w:val="24"/>
          <w:szCs w:val="24"/>
        </w:rPr>
        <w:t>. No observations reported account</w:t>
      </w:r>
      <w:r w:rsidR="00F30CAE" w:rsidRPr="008B39E1">
        <w:rPr>
          <w:rFonts w:ascii="Times New Roman" w:hAnsi="Times New Roman" w:cs="Times New Roman"/>
          <w:sz w:val="24"/>
          <w:szCs w:val="24"/>
        </w:rPr>
        <w:t>-</w:t>
      </w:r>
      <w:r w:rsidR="00BC75E7" w:rsidRPr="008B39E1">
        <w:rPr>
          <w:rFonts w:ascii="Times New Roman" w:hAnsi="Times New Roman" w:cs="Times New Roman"/>
          <w:sz w:val="24"/>
          <w:szCs w:val="24"/>
        </w:rPr>
        <w:t>specific</w:t>
      </w:r>
      <w:r w:rsidR="005E626B" w:rsidRPr="008B39E1">
        <w:rPr>
          <w:rFonts w:ascii="Times New Roman" w:hAnsi="Times New Roman" w:cs="Times New Roman"/>
          <w:sz w:val="24"/>
          <w:szCs w:val="24"/>
        </w:rPr>
        <w:t xml:space="preserve"> </w:t>
      </w:r>
      <w:r w:rsidR="000920A5" w:rsidRPr="008B39E1">
        <w:rPr>
          <w:rFonts w:ascii="Times New Roman" w:hAnsi="Times New Roman" w:cs="Times New Roman"/>
          <w:sz w:val="24"/>
          <w:szCs w:val="24"/>
        </w:rPr>
        <w:t xml:space="preserve">only </w:t>
      </w:r>
      <w:proofErr w:type="spellStart"/>
      <w:r w:rsidR="000920A5" w:rsidRPr="008B39E1">
        <w:rPr>
          <w:rFonts w:ascii="Times New Roman" w:hAnsi="Times New Roman" w:cs="Times New Roman"/>
          <w:i/>
          <w:iCs/>
          <w:sz w:val="24"/>
          <w:szCs w:val="24"/>
        </w:rPr>
        <w:t>ICINEFF</w:t>
      </w:r>
      <w:proofErr w:type="spellEnd"/>
      <w:r w:rsidR="007C65E3" w:rsidRPr="008B39E1">
        <w:rPr>
          <w:rFonts w:ascii="Times New Roman" w:hAnsi="Times New Roman" w:cs="Times New Roman"/>
          <w:sz w:val="24"/>
          <w:szCs w:val="24"/>
        </w:rPr>
        <w:t>.</w:t>
      </w:r>
      <w:r w:rsidR="002F6B24" w:rsidRPr="008B39E1">
        <w:rPr>
          <w:rStyle w:val="FootnoteReference"/>
          <w:rFonts w:ascii="Times New Roman" w:hAnsi="Times New Roman" w:cs="Times New Roman"/>
          <w:sz w:val="24"/>
          <w:szCs w:val="24"/>
        </w:rPr>
        <w:footnoteReference w:id="26"/>
      </w:r>
      <w:r w:rsidR="00975210" w:rsidRPr="008B39E1">
        <w:rPr>
          <w:rFonts w:ascii="Times New Roman" w:hAnsi="Times New Roman" w:cs="Times New Roman"/>
          <w:sz w:val="24"/>
          <w:szCs w:val="24"/>
        </w:rPr>
        <w:t xml:space="preserve"> </w:t>
      </w:r>
      <w:r w:rsidR="00B43213" w:rsidRPr="008B39E1">
        <w:rPr>
          <w:rFonts w:ascii="Times New Roman" w:hAnsi="Times New Roman" w:cs="Times New Roman"/>
          <w:sz w:val="24"/>
          <w:szCs w:val="24"/>
        </w:rPr>
        <w:t>Further</w:t>
      </w:r>
      <w:r w:rsidR="00A67C6C" w:rsidRPr="008B39E1">
        <w:rPr>
          <w:rFonts w:ascii="Times New Roman" w:hAnsi="Times New Roman" w:cs="Times New Roman"/>
          <w:sz w:val="24"/>
          <w:szCs w:val="24"/>
        </w:rPr>
        <w:t>,</w:t>
      </w:r>
      <w:r w:rsidR="00452505" w:rsidRPr="008B39E1">
        <w:rPr>
          <w:rFonts w:ascii="Times New Roman" w:hAnsi="Times New Roman" w:cs="Times New Roman"/>
          <w:sz w:val="24"/>
          <w:szCs w:val="24"/>
        </w:rPr>
        <w:t xml:space="preserve"> </w:t>
      </w:r>
      <w:r w:rsidR="002D2062" w:rsidRPr="008B39E1">
        <w:rPr>
          <w:rFonts w:ascii="Times New Roman" w:hAnsi="Times New Roman" w:cs="Times New Roman"/>
          <w:sz w:val="24"/>
          <w:szCs w:val="24"/>
        </w:rPr>
        <w:t xml:space="preserve">501 </w:t>
      </w:r>
      <w:r w:rsidR="004B54B3" w:rsidRPr="008B39E1">
        <w:rPr>
          <w:rFonts w:ascii="Times New Roman" w:hAnsi="Times New Roman" w:cs="Times New Roman"/>
          <w:sz w:val="24"/>
          <w:szCs w:val="24"/>
        </w:rPr>
        <w:t xml:space="preserve">firm-year observations </w:t>
      </w:r>
      <w:r w:rsidR="007C65C0" w:rsidRPr="008B39E1">
        <w:rPr>
          <w:rFonts w:ascii="Times New Roman" w:hAnsi="Times New Roman" w:cs="Times New Roman"/>
          <w:sz w:val="24"/>
          <w:szCs w:val="24"/>
        </w:rPr>
        <w:t xml:space="preserve">are </w:t>
      </w:r>
      <w:r w:rsidR="00A67C6C" w:rsidRPr="008B39E1">
        <w:rPr>
          <w:rFonts w:ascii="Times New Roman" w:hAnsi="Times New Roman" w:cs="Times New Roman"/>
          <w:sz w:val="24"/>
          <w:szCs w:val="24"/>
        </w:rPr>
        <w:t>procedural</w:t>
      </w:r>
      <w:r w:rsidR="003634DD" w:rsidRPr="008B39E1">
        <w:rPr>
          <w:rFonts w:ascii="Times New Roman" w:hAnsi="Times New Roman" w:cs="Times New Roman"/>
          <w:sz w:val="24"/>
          <w:szCs w:val="24"/>
        </w:rPr>
        <w:t>-related</w:t>
      </w:r>
      <w:r w:rsidR="007C65C0" w:rsidRPr="008B39E1">
        <w:rPr>
          <w:rFonts w:ascii="Times New Roman" w:hAnsi="Times New Roman" w:cs="Times New Roman"/>
          <w:sz w:val="24"/>
          <w:szCs w:val="24"/>
        </w:rPr>
        <w:t xml:space="preserve"> </w:t>
      </w:r>
      <w:proofErr w:type="spellStart"/>
      <w:r w:rsidR="003634DD" w:rsidRPr="008B39E1">
        <w:rPr>
          <w:rFonts w:ascii="Times New Roman" w:hAnsi="Times New Roman" w:cs="Times New Roman"/>
          <w:i/>
          <w:iCs/>
          <w:sz w:val="24"/>
          <w:szCs w:val="24"/>
        </w:rPr>
        <w:t>ICINEFF</w:t>
      </w:r>
      <w:proofErr w:type="spellEnd"/>
      <w:r w:rsidR="003634DD" w:rsidRPr="008B39E1">
        <w:rPr>
          <w:rFonts w:ascii="Times New Roman" w:hAnsi="Times New Roman" w:cs="Times New Roman"/>
          <w:i/>
          <w:iCs/>
          <w:sz w:val="24"/>
          <w:szCs w:val="24"/>
        </w:rPr>
        <w:t>,</w:t>
      </w:r>
      <w:r w:rsidR="007C65C0" w:rsidRPr="008B39E1">
        <w:rPr>
          <w:rFonts w:ascii="Times New Roman" w:hAnsi="Times New Roman" w:cs="Times New Roman"/>
          <w:sz w:val="24"/>
          <w:szCs w:val="24"/>
        </w:rPr>
        <w:t xml:space="preserve"> and the remaining 168 firm-year observations are non-</w:t>
      </w:r>
      <w:r w:rsidR="00A67C6C" w:rsidRPr="008B39E1">
        <w:rPr>
          <w:rFonts w:ascii="Times New Roman" w:hAnsi="Times New Roman" w:cs="Times New Roman"/>
          <w:sz w:val="24"/>
          <w:szCs w:val="24"/>
        </w:rPr>
        <w:t>procedural</w:t>
      </w:r>
      <w:r w:rsidR="00C21AC9" w:rsidRPr="008B39E1">
        <w:rPr>
          <w:rFonts w:ascii="Times New Roman" w:hAnsi="Times New Roman" w:cs="Times New Roman"/>
          <w:sz w:val="24"/>
          <w:szCs w:val="24"/>
        </w:rPr>
        <w:t xml:space="preserve"> </w:t>
      </w:r>
      <w:r w:rsidR="008604FD" w:rsidRPr="008B39E1">
        <w:rPr>
          <w:rFonts w:ascii="Times New Roman" w:hAnsi="Times New Roman" w:cs="Times New Roman"/>
          <w:sz w:val="24"/>
          <w:szCs w:val="24"/>
        </w:rPr>
        <w:t xml:space="preserve">(requiring employee </w:t>
      </w:r>
      <w:r w:rsidR="00856069" w:rsidRPr="008B39E1">
        <w:rPr>
          <w:rFonts w:ascii="Times New Roman" w:hAnsi="Times New Roman" w:cs="Times New Roman"/>
          <w:sz w:val="24"/>
          <w:szCs w:val="24"/>
        </w:rPr>
        <w:t>experience) related</w:t>
      </w:r>
      <w:r w:rsidR="007C65C0" w:rsidRPr="008B39E1">
        <w:rPr>
          <w:rFonts w:ascii="Times New Roman" w:hAnsi="Times New Roman" w:cs="Times New Roman"/>
          <w:sz w:val="24"/>
          <w:szCs w:val="24"/>
        </w:rPr>
        <w:t xml:space="preserve"> </w:t>
      </w:r>
      <w:proofErr w:type="spellStart"/>
      <w:r w:rsidR="007C65C0" w:rsidRPr="008B39E1">
        <w:rPr>
          <w:rFonts w:ascii="Times New Roman" w:hAnsi="Times New Roman" w:cs="Times New Roman"/>
          <w:i/>
          <w:iCs/>
          <w:sz w:val="24"/>
          <w:szCs w:val="24"/>
        </w:rPr>
        <w:t>ICINEFF</w:t>
      </w:r>
      <w:proofErr w:type="spellEnd"/>
      <w:r w:rsidR="007C65C0" w:rsidRPr="008B39E1">
        <w:rPr>
          <w:rFonts w:ascii="Times New Roman" w:hAnsi="Times New Roman" w:cs="Times New Roman"/>
          <w:sz w:val="24"/>
          <w:szCs w:val="24"/>
        </w:rPr>
        <w:t xml:space="preserve">. </w:t>
      </w:r>
    </w:p>
    <w:p w14:paraId="76A6D309" w14:textId="6CA5C93E" w:rsidR="00452505" w:rsidRPr="008B39E1" w:rsidRDefault="00DC55B9"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Table II</w:t>
      </w:r>
      <w:r w:rsidR="00452505" w:rsidRPr="008B39E1">
        <w:rPr>
          <w:rFonts w:ascii="Times New Roman" w:hAnsi="Times New Roman" w:cs="Times New Roman"/>
          <w:sz w:val="24"/>
          <w:szCs w:val="24"/>
        </w:rPr>
        <w:t xml:space="preserve"> Panel </w:t>
      </w:r>
      <w:r w:rsidR="00FA6D7F" w:rsidRPr="008B39E1">
        <w:rPr>
          <w:rFonts w:ascii="Times New Roman" w:hAnsi="Times New Roman" w:cs="Times New Roman"/>
          <w:sz w:val="24"/>
          <w:szCs w:val="24"/>
        </w:rPr>
        <w:t>B</w:t>
      </w:r>
      <w:r w:rsidR="00F536C6" w:rsidRPr="008B39E1">
        <w:rPr>
          <w:rFonts w:ascii="Times New Roman" w:hAnsi="Times New Roman" w:cs="Times New Roman"/>
          <w:sz w:val="24"/>
          <w:szCs w:val="24"/>
        </w:rPr>
        <w:t xml:space="preserve"> presents frequency of </w:t>
      </w:r>
      <w:proofErr w:type="spellStart"/>
      <w:r w:rsidR="004133C2" w:rsidRPr="008B39E1">
        <w:rPr>
          <w:rFonts w:ascii="Times New Roman" w:hAnsi="Times New Roman" w:cs="Times New Roman"/>
          <w:i/>
          <w:iCs/>
          <w:sz w:val="24"/>
          <w:szCs w:val="24"/>
        </w:rPr>
        <w:t>IC</w:t>
      </w:r>
      <w:r w:rsidR="005F670B" w:rsidRPr="008B39E1">
        <w:rPr>
          <w:rFonts w:ascii="Times New Roman" w:hAnsi="Times New Roman" w:cs="Times New Roman"/>
          <w:i/>
          <w:iCs/>
          <w:sz w:val="24"/>
          <w:szCs w:val="24"/>
        </w:rPr>
        <w:t>INEFF</w:t>
      </w:r>
      <w:proofErr w:type="spellEnd"/>
      <w:r w:rsidR="005F670B" w:rsidRPr="008B39E1">
        <w:rPr>
          <w:rFonts w:ascii="Times New Roman" w:hAnsi="Times New Roman" w:cs="Times New Roman"/>
          <w:sz w:val="24"/>
          <w:szCs w:val="24"/>
        </w:rPr>
        <w:t xml:space="preserve"> by pre- and post-relocation and by </w:t>
      </w:r>
      <w:r w:rsidR="00EB2D3B" w:rsidRPr="008B39E1">
        <w:rPr>
          <w:rFonts w:ascii="Times New Roman" w:hAnsi="Times New Roman" w:cs="Times New Roman"/>
          <w:sz w:val="24"/>
          <w:szCs w:val="24"/>
        </w:rPr>
        <w:t xml:space="preserve">indicator of social change for </w:t>
      </w:r>
      <w:r w:rsidR="00B43213" w:rsidRPr="008B39E1">
        <w:rPr>
          <w:rFonts w:ascii="Times New Roman" w:hAnsi="Times New Roman" w:cs="Times New Roman"/>
          <w:sz w:val="24"/>
          <w:szCs w:val="24"/>
        </w:rPr>
        <w:t>the relocation</w:t>
      </w:r>
      <w:r w:rsidR="00EB2D3B" w:rsidRPr="008B39E1">
        <w:rPr>
          <w:rFonts w:ascii="Times New Roman" w:hAnsi="Times New Roman" w:cs="Times New Roman"/>
          <w:sz w:val="24"/>
          <w:szCs w:val="24"/>
        </w:rPr>
        <w:t xml:space="preserve"> sample. In the pre-period</w:t>
      </w:r>
      <w:r w:rsidR="0085023C" w:rsidRPr="008B39E1">
        <w:rPr>
          <w:rFonts w:ascii="Times New Roman" w:hAnsi="Times New Roman" w:cs="Times New Roman"/>
          <w:sz w:val="24"/>
          <w:szCs w:val="24"/>
        </w:rPr>
        <w:t xml:space="preserve">, 172 firm-year </w:t>
      </w:r>
      <w:r w:rsidR="0085023C" w:rsidRPr="008B39E1">
        <w:rPr>
          <w:rFonts w:ascii="Times New Roman" w:hAnsi="Times New Roman" w:cs="Times New Roman"/>
          <w:sz w:val="24"/>
          <w:szCs w:val="24"/>
        </w:rPr>
        <w:lastRenderedPageBreak/>
        <w:t xml:space="preserve">observations </w:t>
      </w:r>
      <w:r w:rsidR="006C7110" w:rsidRPr="008B39E1">
        <w:rPr>
          <w:rFonts w:ascii="Times New Roman" w:hAnsi="Times New Roman" w:cs="Times New Roman"/>
          <w:sz w:val="24"/>
          <w:szCs w:val="24"/>
        </w:rPr>
        <w:t xml:space="preserve">(19.2%) </w:t>
      </w:r>
      <w:r w:rsidR="0085023C" w:rsidRPr="008B39E1">
        <w:rPr>
          <w:rFonts w:ascii="Times New Roman" w:hAnsi="Times New Roman" w:cs="Times New Roman"/>
          <w:sz w:val="24"/>
          <w:szCs w:val="24"/>
        </w:rPr>
        <w:t xml:space="preserve">reported internal control issues. </w:t>
      </w:r>
      <w:r w:rsidR="002304C3" w:rsidRPr="008B39E1">
        <w:rPr>
          <w:rFonts w:ascii="Times New Roman" w:hAnsi="Times New Roman" w:cs="Times New Roman"/>
          <w:sz w:val="24"/>
          <w:szCs w:val="24"/>
        </w:rPr>
        <w:t xml:space="preserve">In the post-period, </w:t>
      </w:r>
      <w:proofErr w:type="spellStart"/>
      <w:r w:rsidR="002304C3" w:rsidRPr="008B39E1">
        <w:rPr>
          <w:rFonts w:ascii="Times New Roman" w:hAnsi="Times New Roman" w:cs="Times New Roman"/>
          <w:i/>
          <w:iCs/>
          <w:sz w:val="24"/>
          <w:szCs w:val="24"/>
        </w:rPr>
        <w:t>ICINEFF</w:t>
      </w:r>
      <w:proofErr w:type="spellEnd"/>
      <w:r w:rsidR="002304C3" w:rsidRPr="008B39E1">
        <w:rPr>
          <w:rFonts w:ascii="Times New Roman" w:hAnsi="Times New Roman" w:cs="Times New Roman"/>
          <w:sz w:val="24"/>
          <w:szCs w:val="24"/>
        </w:rPr>
        <w:t xml:space="preserve"> increases to 197 </w:t>
      </w:r>
      <w:r w:rsidR="006C7110" w:rsidRPr="008B39E1">
        <w:rPr>
          <w:rFonts w:ascii="Times New Roman" w:hAnsi="Times New Roman" w:cs="Times New Roman"/>
          <w:sz w:val="24"/>
          <w:szCs w:val="24"/>
        </w:rPr>
        <w:t xml:space="preserve">(22.04%) </w:t>
      </w:r>
      <w:r w:rsidR="002304C3" w:rsidRPr="008B39E1">
        <w:rPr>
          <w:rFonts w:ascii="Times New Roman" w:hAnsi="Times New Roman" w:cs="Times New Roman"/>
          <w:sz w:val="24"/>
          <w:szCs w:val="24"/>
        </w:rPr>
        <w:t xml:space="preserve">firm-year observations. </w:t>
      </w:r>
      <w:r w:rsidR="009041A4" w:rsidRPr="008B39E1">
        <w:rPr>
          <w:rFonts w:ascii="Times New Roman" w:hAnsi="Times New Roman" w:cs="Times New Roman"/>
          <w:sz w:val="24"/>
          <w:szCs w:val="24"/>
        </w:rPr>
        <w:t xml:space="preserve">Additionally, relocation involved a social capital change for 862 firm-year observations, or 431 unique firms. </w:t>
      </w:r>
      <w:r w:rsidR="003B183E" w:rsidRPr="008B39E1">
        <w:rPr>
          <w:rFonts w:ascii="Times New Roman" w:hAnsi="Times New Roman" w:cs="Times New Roman"/>
          <w:sz w:val="24"/>
          <w:szCs w:val="24"/>
        </w:rPr>
        <w:t xml:space="preserve">For relocations involving no social capital changes, 161 </w:t>
      </w:r>
      <w:r w:rsidR="006C7110" w:rsidRPr="008B39E1">
        <w:rPr>
          <w:rFonts w:ascii="Times New Roman" w:hAnsi="Times New Roman" w:cs="Times New Roman"/>
          <w:sz w:val="24"/>
          <w:szCs w:val="24"/>
        </w:rPr>
        <w:t xml:space="preserve">(17.4%) </w:t>
      </w:r>
      <w:r w:rsidR="003B183E" w:rsidRPr="008B39E1">
        <w:rPr>
          <w:rFonts w:ascii="Times New Roman" w:hAnsi="Times New Roman" w:cs="Times New Roman"/>
          <w:sz w:val="24"/>
          <w:szCs w:val="24"/>
        </w:rPr>
        <w:t xml:space="preserve">firm-year observations had internal control issues compared to 208 </w:t>
      </w:r>
      <w:r w:rsidR="006C7110" w:rsidRPr="008B39E1">
        <w:rPr>
          <w:rFonts w:ascii="Times New Roman" w:hAnsi="Times New Roman" w:cs="Times New Roman"/>
          <w:sz w:val="24"/>
          <w:szCs w:val="24"/>
        </w:rPr>
        <w:t xml:space="preserve">(24.1%) </w:t>
      </w:r>
      <w:r w:rsidR="003B183E" w:rsidRPr="008B39E1">
        <w:rPr>
          <w:rFonts w:ascii="Times New Roman" w:hAnsi="Times New Roman" w:cs="Times New Roman"/>
          <w:sz w:val="24"/>
          <w:szCs w:val="24"/>
        </w:rPr>
        <w:t xml:space="preserve">firm-year observations for relocations with social capital changes. </w:t>
      </w:r>
      <w:r w:rsidR="00625991" w:rsidRPr="008B39E1">
        <w:rPr>
          <w:rFonts w:ascii="Times New Roman" w:hAnsi="Times New Roman" w:cs="Times New Roman"/>
          <w:sz w:val="24"/>
          <w:szCs w:val="24"/>
        </w:rPr>
        <w:t xml:space="preserve">This provides preliminary evidence that relocation and relocation with social capital changes negatively impacts internal control effectiveness. </w:t>
      </w:r>
      <w:r w:rsidR="003A26F8" w:rsidRPr="008B39E1">
        <w:rPr>
          <w:rFonts w:ascii="Times New Roman" w:hAnsi="Times New Roman" w:cs="Times New Roman"/>
          <w:sz w:val="24"/>
          <w:szCs w:val="24"/>
        </w:rPr>
        <w:t xml:space="preserve"> </w:t>
      </w:r>
      <w:r w:rsidR="00452505" w:rsidRPr="008B39E1">
        <w:rPr>
          <w:rFonts w:ascii="Times New Roman" w:hAnsi="Times New Roman" w:cs="Times New Roman"/>
          <w:sz w:val="24"/>
          <w:szCs w:val="24"/>
        </w:rPr>
        <w:t xml:space="preserve"> </w:t>
      </w:r>
    </w:p>
    <w:p w14:paraId="37DE2FA9" w14:textId="36A03C73" w:rsidR="00452505" w:rsidRPr="008B39E1" w:rsidRDefault="00DC55B9"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Table II</w:t>
      </w:r>
      <w:r w:rsidR="00452505" w:rsidRPr="008B39E1">
        <w:rPr>
          <w:rFonts w:ascii="Times New Roman" w:hAnsi="Times New Roman" w:cs="Times New Roman"/>
          <w:sz w:val="24"/>
          <w:szCs w:val="24"/>
        </w:rPr>
        <w:t xml:space="preserve">, Panel </w:t>
      </w:r>
      <w:r w:rsidR="00D05926" w:rsidRPr="008B39E1">
        <w:rPr>
          <w:rFonts w:ascii="Times New Roman" w:hAnsi="Times New Roman" w:cs="Times New Roman"/>
          <w:sz w:val="24"/>
          <w:szCs w:val="24"/>
        </w:rPr>
        <w:t>C</w:t>
      </w:r>
      <w:r w:rsidR="00452505" w:rsidRPr="008B39E1">
        <w:rPr>
          <w:rFonts w:ascii="Times New Roman" w:hAnsi="Times New Roman" w:cs="Times New Roman"/>
          <w:sz w:val="24"/>
          <w:szCs w:val="24"/>
        </w:rPr>
        <w:t xml:space="preserve"> presents descriptive statistics</w:t>
      </w:r>
      <w:r w:rsidR="00F313E4" w:rsidRPr="008B39E1">
        <w:rPr>
          <w:rFonts w:ascii="Times New Roman" w:hAnsi="Times New Roman" w:cs="Times New Roman"/>
          <w:sz w:val="24"/>
          <w:szCs w:val="24"/>
        </w:rPr>
        <w:t xml:space="preserve"> for our</w:t>
      </w:r>
      <w:r w:rsidR="00452505" w:rsidRPr="008B39E1">
        <w:rPr>
          <w:rFonts w:ascii="Times New Roman" w:hAnsi="Times New Roman" w:cs="Times New Roman"/>
          <w:sz w:val="24"/>
          <w:szCs w:val="24"/>
        </w:rPr>
        <w:t xml:space="preserve"> control and dependent variables, bifurcated by </w:t>
      </w:r>
      <w:r w:rsidR="00E23AB8" w:rsidRPr="008B39E1">
        <w:rPr>
          <w:rFonts w:ascii="Times New Roman" w:hAnsi="Times New Roman" w:cs="Times New Roman"/>
          <w:sz w:val="24"/>
          <w:szCs w:val="24"/>
        </w:rPr>
        <w:t xml:space="preserve">relocation </w:t>
      </w:r>
      <w:r w:rsidR="00D05926" w:rsidRPr="008B39E1">
        <w:rPr>
          <w:rFonts w:ascii="Times New Roman" w:hAnsi="Times New Roman" w:cs="Times New Roman"/>
          <w:sz w:val="24"/>
          <w:szCs w:val="24"/>
        </w:rPr>
        <w:t>and control samples</w:t>
      </w:r>
      <w:r w:rsidR="00452505" w:rsidRPr="008B39E1">
        <w:rPr>
          <w:rFonts w:ascii="Times New Roman" w:hAnsi="Times New Roman" w:cs="Times New Roman"/>
          <w:sz w:val="24"/>
          <w:szCs w:val="24"/>
        </w:rPr>
        <w:t xml:space="preserve">. </w:t>
      </w:r>
      <w:r w:rsidR="00B81A6C" w:rsidRPr="008B39E1">
        <w:rPr>
          <w:rFonts w:ascii="Times New Roman" w:hAnsi="Times New Roman" w:cs="Times New Roman"/>
          <w:sz w:val="24"/>
          <w:szCs w:val="24"/>
        </w:rPr>
        <w:t xml:space="preserve">20.6 percent of </w:t>
      </w:r>
      <w:r w:rsidR="004868A0" w:rsidRPr="008B39E1">
        <w:rPr>
          <w:rFonts w:ascii="Times New Roman" w:hAnsi="Times New Roman" w:cs="Times New Roman"/>
          <w:sz w:val="24"/>
          <w:szCs w:val="24"/>
        </w:rPr>
        <w:t xml:space="preserve">the </w:t>
      </w:r>
      <w:r w:rsidR="00E23AB8" w:rsidRPr="008B39E1">
        <w:rPr>
          <w:rFonts w:ascii="Times New Roman" w:hAnsi="Times New Roman" w:cs="Times New Roman"/>
          <w:sz w:val="24"/>
          <w:szCs w:val="24"/>
        </w:rPr>
        <w:t>relocation</w:t>
      </w:r>
      <w:r w:rsidR="004868A0" w:rsidRPr="008B39E1">
        <w:rPr>
          <w:rFonts w:ascii="Times New Roman" w:hAnsi="Times New Roman" w:cs="Times New Roman"/>
          <w:sz w:val="24"/>
          <w:szCs w:val="24"/>
        </w:rPr>
        <w:t xml:space="preserve"> sample reported internal control issues compared to 17.2 percent of the control sample.</w:t>
      </w:r>
      <w:r w:rsidR="00C87864" w:rsidRPr="008B39E1">
        <w:rPr>
          <w:rStyle w:val="FootnoteReference"/>
          <w:rFonts w:ascii="Times New Roman" w:hAnsi="Times New Roman" w:cs="Times New Roman"/>
          <w:sz w:val="24"/>
          <w:szCs w:val="24"/>
        </w:rPr>
        <w:footnoteReference w:id="27"/>
      </w:r>
      <w:r w:rsidR="004868A0" w:rsidRPr="008B39E1">
        <w:rPr>
          <w:rFonts w:ascii="Times New Roman" w:hAnsi="Times New Roman" w:cs="Times New Roman"/>
          <w:sz w:val="24"/>
          <w:szCs w:val="24"/>
        </w:rPr>
        <w:t xml:space="preserve"> </w:t>
      </w:r>
      <w:r w:rsidR="009D3B4E" w:rsidRPr="008B39E1">
        <w:rPr>
          <w:rFonts w:ascii="Times New Roman" w:hAnsi="Times New Roman" w:cs="Times New Roman"/>
          <w:sz w:val="24"/>
          <w:szCs w:val="24"/>
        </w:rPr>
        <w:t xml:space="preserve">A t-test revealed that this difference is statistically significant. </w:t>
      </w:r>
      <w:r w:rsidR="00E23AB8" w:rsidRPr="008B39E1">
        <w:rPr>
          <w:rFonts w:ascii="Times New Roman" w:hAnsi="Times New Roman" w:cs="Times New Roman"/>
          <w:sz w:val="24"/>
          <w:szCs w:val="24"/>
        </w:rPr>
        <w:t>Relocation</w:t>
      </w:r>
      <w:r w:rsidR="001278D6" w:rsidRPr="008B39E1">
        <w:rPr>
          <w:rFonts w:ascii="Times New Roman" w:hAnsi="Times New Roman" w:cs="Times New Roman"/>
          <w:sz w:val="24"/>
          <w:szCs w:val="24"/>
        </w:rPr>
        <w:t xml:space="preserve"> firms are more likely </w:t>
      </w:r>
      <w:r w:rsidR="00380959" w:rsidRPr="008B39E1">
        <w:rPr>
          <w:rFonts w:ascii="Times New Roman" w:hAnsi="Times New Roman" w:cs="Times New Roman"/>
          <w:sz w:val="24"/>
          <w:szCs w:val="24"/>
        </w:rPr>
        <w:t>to undertake</w:t>
      </w:r>
      <w:r w:rsidR="001278D6" w:rsidRPr="008B39E1">
        <w:rPr>
          <w:rFonts w:ascii="Times New Roman" w:hAnsi="Times New Roman" w:cs="Times New Roman"/>
          <w:sz w:val="24"/>
          <w:szCs w:val="24"/>
        </w:rPr>
        <w:t xml:space="preserve"> corporate restructuring and </w:t>
      </w:r>
      <w:r w:rsidR="008D3112" w:rsidRPr="008B39E1">
        <w:rPr>
          <w:rFonts w:ascii="Times New Roman" w:hAnsi="Times New Roman" w:cs="Times New Roman"/>
          <w:sz w:val="24"/>
          <w:szCs w:val="24"/>
        </w:rPr>
        <w:t xml:space="preserve">be in a net loss position than control firms. </w:t>
      </w:r>
      <w:r w:rsidR="00E347D3" w:rsidRPr="008B39E1">
        <w:rPr>
          <w:rFonts w:ascii="Times New Roman" w:hAnsi="Times New Roman" w:cs="Times New Roman"/>
          <w:sz w:val="24"/>
          <w:szCs w:val="24"/>
        </w:rPr>
        <w:t xml:space="preserve">On the other hand, control firms have higher ROAs and inventory balances than </w:t>
      </w:r>
      <w:r w:rsidR="00E23AB8" w:rsidRPr="008B39E1">
        <w:rPr>
          <w:rFonts w:ascii="Times New Roman" w:hAnsi="Times New Roman" w:cs="Times New Roman"/>
          <w:sz w:val="24"/>
          <w:szCs w:val="24"/>
        </w:rPr>
        <w:t>relocation</w:t>
      </w:r>
      <w:r w:rsidR="00E347D3" w:rsidRPr="008B39E1">
        <w:rPr>
          <w:rFonts w:ascii="Times New Roman" w:hAnsi="Times New Roman" w:cs="Times New Roman"/>
          <w:sz w:val="24"/>
          <w:szCs w:val="24"/>
        </w:rPr>
        <w:t xml:space="preserve"> firms. </w:t>
      </w:r>
      <w:r w:rsidR="00CA58CB" w:rsidRPr="008B39E1">
        <w:rPr>
          <w:rFonts w:ascii="Times New Roman" w:hAnsi="Times New Roman" w:cs="Times New Roman"/>
          <w:sz w:val="24"/>
          <w:szCs w:val="24"/>
        </w:rPr>
        <w:t>For the remaining variables, there is no statistical</w:t>
      </w:r>
      <w:r w:rsidR="00E86D6C" w:rsidRPr="008B39E1">
        <w:rPr>
          <w:rFonts w:ascii="Times New Roman" w:hAnsi="Times New Roman" w:cs="Times New Roman"/>
          <w:sz w:val="24"/>
          <w:szCs w:val="24"/>
        </w:rPr>
        <w:t>ly significant</w:t>
      </w:r>
      <w:r w:rsidR="00CA58CB" w:rsidRPr="008B39E1">
        <w:rPr>
          <w:rFonts w:ascii="Times New Roman" w:hAnsi="Times New Roman" w:cs="Times New Roman"/>
          <w:sz w:val="24"/>
          <w:szCs w:val="24"/>
        </w:rPr>
        <w:t xml:space="preserve"> difference between control and </w:t>
      </w:r>
      <w:r w:rsidR="00E23AB8" w:rsidRPr="008B39E1">
        <w:rPr>
          <w:rFonts w:ascii="Times New Roman" w:hAnsi="Times New Roman" w:cs="Times New Roman"/>
          <w:sz w:val="24"/>
          <w:szCs w:val="24"/>
        </w:rPr>
        <w:t>relocation</w:t>
      </w:r>
      <w:r w:rsidR="00CA58CB" w:rsidRPr="008B39E1">
        <w:rPr>
          <w:rFonts w:ascii="Times New Roman" w:hAnsi="Times New Roman" w:cs="Times New Roman"/>
          <w:sz w:val="24"/>
          <w:szCs w:val="24"/>
        </w:rPr>
        <w:t xml:space="preserve"> firms. </w:t>
      </w:r>
    </w:p>
    <w:p w14:paraId="61D726C2" w14:textId="007E86E3" w:rsidR="00452505" w:rsidRPr="008B39E1" w:rsidRDefault="002F0B27" w:rsidP="00981B19">
      <w:pPr>
        <w:spacing w:after="0" w:line="480" w:lineRule="auto"/>
        <w:rPr>
          <w:rFonts w:ascii="Times New Roman" w:hAnsi="Times New Roman" w:cs="Times New Roman"/>
          <w:sz w:val="24"/>
          <w:szCs w:val="24"/>
        </w:rPr>
      </w:pPr>
      <w:r w:rsidRPr="008B39E1">
        <w:rPr>
          <w:rFonts w:ascii="Times New Roman" w:hAnsi="Times New Roman" w:cs="Times New Roman"/>
          <w:b/>
          <w:bCs/>
          <w:sz w:val="24"/>
          <w:szCs w:val="24"/>
        </w:rPr>
        <w:t xml:space="preserve">RQ1 Results </w:t>
      </w:r>
    </w:p>
    <w:p w14:paraId="10CE0D7E" w14:textId="36EED704" w:rsidR="009F7E82" w:rsidRPr="008B39E1" w:rsidRDefault="00DC55B9"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Table III</w:t>
      </w:r>
      <w:r w:rsidR="00891D30" w:rsidRPr="008B39E1">
        <w:rPr>
          <w:rFonts w:ascii="Times New Roman" w:hAnsi="Times New Roman" w:cs="Times New Roman"/>
          <w:sz w:val="24"/>
          <w:szCs w:val="24"/>
        </w:rPr>
        <w:t xml:space="preserve"> </w:t>
      </w:r>
      <w:r w:rsidR="00964BAA" w:rsidRPr="008B39E1">
        <w:rPr>
          <w:rFonts w:ascii="Times New Roman" w:hAnsi="Times New Roman" w:cs="Times New Roman"/>
          <w:sz w:val="24"/>
          <w:szCs w:val="24"/>
        </w:rPr>
        <w:t xml:space="preserve">presents the results for Eq. (1) </w:t>
      </w:r>
      <w:r w:rsidR="00446996" w:rsidRPr="008B39E1">
        <w:rPr>
          <w:rFonts w:ascii="Times New Roman" w:hAnsi="Times New Roman" w:cs="Times New Roman"/>
          <w:sz w:val="24"/>
          <w:szCs w:val="24"/>
        </w:rPr>
        <w:t xml:space="preserve">This is our baseline effect of relocation on </w:t>
      </w:r>
      <w:r w:rsidR="007B6950" w:rsidRPr="008B39E1">
        <w:rPr>
          <w:rFonts w:ascii="Times New Roman" w:hAnsi="Times New Roman" w:cs="Times New Roman"/>
          <w:sz w:val="24"/>
          <w:szCs w:val="24"/>
        </w:rPr>
        <w:t xml:space="preserve">internal control effectiveness. The </w:t>
      </w:r>
      <w:r w:rsidR="008D0162" w:rsidRPr="008B39E1">
        <w:rPr>
          <w:rFonts w:ascii="Times New Roman" w:hAnsi="Times New Roman" w:cs="Times New Roman"/>
          <w:sz w:val="24"/>
          <w:szCs w:val="24"/>
        </w:rPr>
        <w:t xml:space="preserve">lack of a statistically significant </w:t>
      </w:r>
      <w:r w:rsidR="007B6950" w:rsidRPr="008B39E1">
        <w:rPr>
          <w:rFonts w:ascii="Times New Roman" w:hAnsi="Times New Roman" w:cs="Times New Roman"/>
          <w:sz w:val="24"/>
          <w:szCs w:val="24"/>
        </w:rPr>
        <w:t xml:space="preserve">coefficient on </w:t>
      </w:r>
      <w:r w:rsidR="00D147A1" w:rsidRPr="008B39E1">
        <w:rPr>
          <w:rFonts w:ascii="Times New Roman" w:hAnsi="Times New Roman" w:cs="Times New Roman"/>
          <w:i/>
          <w:iCs/>
          <w:sz w:val="24"/>
          <w:szCs w:val="24"/>
        </w:rPr>
        <w:t>RELOCATE</w:t>
      </w:r>
      <w:r w:rsidR="007B6950" w:rsidRPr="008B39E1">
        <w:rPr>
          <w:rFonts w:ascii="Times New Roman" w:hAnsi="Times New Roman" w:cs="Times New Roman"/>
          <w:sz w:val="24"/>
          <w:szCs w:val="24"/>
        </w:rPr>
        <w:t xml:space="preserve"> </w:t>
      </w:r>
      <w:r w:rsidR="000F1064" w:rsidRPr="008B39E1">
        <w:rPr>
          <w:rFonts w:ascii="Times New Roman" w:hAnsi="Times New Roman" w:cs="Times New Roman"/>
          <w:sz w:val="24"/>
          <w:szCs w:val="24"/>
        </w:rPr>
        <w:t>indicates</w:t>
      </w:r>
      <w:r w:rsidR="007B6950" w:rsidRPr="008B39E1">
        <w:rPr>
          <w:rFonts w:ascii="Times New Roman" w:hAnsi="Times New Roman" w:cs="Times New Roman"/>
          <w:sz w:val="24"/>
          <w:szCs w:val="24"/>
        </w:rPr>
        <w:t xml:space="preserve"> that </w:t>
      </w:r>
      <w:r w:rsidR="00B31658" w:rsidRPr="008B39E1">
        <w:rPr>
          <w:rFonts w:ascii="Times New Roman" w:hAnsi="Times New Roman" w:cs="Times New Roman"/>
          <w:sz w:val="24"/>
          <w:szCs w:val="24"/>
        </w:rPr>
        <w:t xml:space="preserve">relocating </w:t>
      </w:r>
      <w:r w:rsidR="007B6950" w:rsidRPr="008B39E1">
        <w:rPr>
          <w:rFonts w:ascii="Times New Roman" w:hAnsi="Times New Roman" w:cs="Times New Roman"/>
          <w:sz w:val="24"/>
          <w:szCs w:val="24"/>
        </w:rPr>
        <w:t xml:space="preserve">and control firms do not differ </w:t>
      </w:r>
      <w:r w:rsidR="00E75324" w:rsidRPr="008B39E1">
        <w:rPr>
          <w:rFonts w:ascii="Times New Roman" w:hAnsi="Times New Roman" w:cs="Times New Roman"/>
          <w:sz w:val="24"/>
          <w:szCs w:val="24"/>
        </w:rPr>
        <w:t>on internal control effectiveness</w:t>
      </w:r>
      <w:r w:rsidR="00BA5612" w:rsidRPr="008B39E1">
        <w:rPr>
          <w:rFonts w:ascii="Times New Roman" w:hAnsi="Times New Roman" w:cs="Times New Roman"/>
          <w:sz w:val="24"/>
          <w:szCs w:val="24"/>
        </w:rPr>
        <w:t xml:space="preserve"> in the pre-period</w:t>
      </w:r>
      <w:r w:rsidR="00E75324" w:rsidRPr="008B39E1">
        <w:rPr>
          <w:rFonts w:ascii="Times New Roman" w:hAnsi="Times New Roman" w:cs="Times New Roman"/>
          <w:sz w:val="24"/>
          <w:szCs w:val="24"/>
        </w:rPr>
        <w:t xml:space="preserve">. </w:t>
      </w:r>
      <w:r w:rsidR="00520F6E" w:rsidRPr="008B39E1">
        <w:rPr>
          <w:rFonts w:ascii="Times New Roman" w:hAnsi="Times New Roman" w:cs="Times New Roman"/>
          <w:sz w:val="24"/>
          <w:szCs w:val="24"/>
        </w:rPr>
        <w:t>However, t</w:t>
      </w:r>
      <w:r w:rsidR="00541078" w:rsidRPr="008B39E1">
        <w:rPr>
          <w:rFonts w:ascii="Times New Roman" w:hAnsi="Times New Roman" w:cs="Times New Roman"/>
          <w:sz w:val="24"/>
          <w:szCs w:val="24"/>
        </w:rPr>
        <w:t xml:space="preserve">he coefficient for </w:t>
      </w:r>
      <w:proofErr w:type="spellStart"/>
      <w:r w:rsidR="00D147A1" w:rsidRPr="008B39E1">
        <w:rPr>
          <w:rFonts w:ascii="Times New Roman" w:hAnsi="Times New Roman" w:cs="Times New Roman"/>
          <w:i/>
          <w:iCs/>
          <w:sz w:val="24"/>
          <w:szCs w:val="24"/>
        </w:rPr>
        <w:t>RELOCATE</w:t>
      </w:r>
      <w:r w:rsidR="00840626" w:rsidRPr="008B39E1">
        <w:rPr>
          <w:rFonts w:ascii="Times New Roman" w:hAnsi="Times New Roman" w:cs="Times New Roman"/>
          <w:i/>
          <w:iCs/>
          <w:sz w:val="24"/>
          <w:szCs w:val="24"/>
        </w:rPr>
        <w:t>xPOST</w:t>
      </w:r>
      <w:proofErr w:type="spellEnd"/>
      <w:r w:rsidR="00840626" w:rsidRPr="008B39E1">
        <w:rPr>
          <w:rFonts w:ascii="Times New Roman" w:hAnsi="Times New Roman" w:cs="Times New Roman"/>
          <w:sz w:val="24"/>
          <w:szCs w:val="24"/>
        </w:rPr>
        <w:t xml:space="preserve"> is positive and significant (p&lt;0.01 (p&lt;0.05))</w:t>
      </w:r>
      <w:r w:rsidR="00807B97" w:rsidRPr="008B39E1">
        <w:rPr>
          <w:rFonts w:ascii="Times New Roman" w:hAnsi="Times New Roman" w:cs="Times New Roman"/>
          <w:sz w:val="24"/>
          <w:szCs w:val="24"/>
        </w:rPr>
        <w:t>.</w:t>
      </w:r>
      <w:r w:rsidR="00520F6E" w:rsidRPr="008B39E1">
        <w:rPr>
          <w:rFonts w:ascii="Times New Roman" w:hAnsi="Times New Roman" w:cs="Times New Roman"/>
          <w:sz w:val="24"/>
          <w:szCs w:val="24"/>
        </w:rPr>
        <w:t xml:space="preserve"> This indicates that for </w:t>
      </w:r>
      <w:r w:rsidR="00E23AB8" w:rsidRPr="008B39E1">
        <w:rPr>
          <w:rFonts w:ascii="Times New Roman" w:hAnsi="Times New Roman" w:cs="Times New Roman"/>
          <w:sz w:val="24"/>
          <w:szCs w:val="24"/>
        </w:rPr>
        <w:t>relocati</w:t>
      </w:r>
      <w:r w:rsidR="00B31658" w:rsidRPr="008B39E1">
        <w:rPr>
          <w:rFonts w:ascii="Times New Roman" w:hAnsi="Times New Roman" w:cs="Times New Roman"/>
          <w:sz w:val="24"/>
          <w:szCs w:val="24"/>
        </w:rPr>
        <w:t>ng</w:t>
      </w:r>
      <w:r w:rsidR="00520F6E" w:rsidRPr="008B39E1">
        <w:rPr>
          <w:rFonts w:ascii="Times New Roman" w:hAnsi="Times New Roman" w:cs="Times New Roman"/>
          <w:sz w:val="24"/>
          <w:szCs w:val="24"/>
        </w:rPr>
        <w:t xml:space="preserve"> firms</w:t>
      </w:r>
      <w:r w:rsidR="00F37F34" w:rsidRPr="008B39E1">
        <w:rPr>
          <w:rFonts w:ascii="Times New Roman" w:hAnsi="Times New Roman" w:cs="Times New Roman"/>
          <w:sz w:val="24"/>
          <w:szCs w:val="24"/>
        </w:rPr>
        <w:t xml:space="preserve">, </w:t>
      </w:r>
      <w:r w:rsidR="009769FD" w:rsidRPr="008B39E1">
        <w:rPr>
          <w:rFonts w:ascii="Times New Roman" w:hAnsi="Times New Roman" w:cs="Times New Roman"/>
          <w:sz w:val="24"/>
          <w:szCs w:val="24"/>
        </w:rPr>
        <w:t>internal control effectiveness is</w:t>
      </w:r>
      <w:r w:rsidR="00CC5444" w:rsidRPr="008B39E1">
        <w:rPr>
          <w:rFonts w:ascii="Times New Roman" w:hAnsi="Times New Roman" w:cs="Times New Roman"/>
          <w:sz w:val="24"/>
          <w:szCs w:val="24"/>
        </w:rPr>
        <w:t>, on average,</w:t>
      </w:r>
      <w:r w:rsidR="009769FD" w:rsidRPr="008B39E1">
        <w:rPr>
          <w:rFonts w:ascii="Times New Roman" w:hAnsi="Times New Roman" w:cs="Times New Roman"/>
          <w:sz w:val="24"/>
          <w:szCs w:val="24"/>
        </w:rPr>
        <w:t xml:space="preserve"> negatively impacted in </w:t>
      </w:r>
      <w:r w:rsidR="00BA5612" w:rsidRPr="008B39E1">
        <w:rPr>
          <w:rFonts w:ascii="Times New Roman" w:hAnsi="Times New Roman" w:cs="Times New Roman"/>
          <w:sz w:val="24"/>
          <w:szCs w:val="24"/>
        </w:rPr>
        <w:t>year</w:t>
      </w:r>
      <w:r w:rsidR="009769FD" w:rsidRPr="008B39E1">
        <w:rPr>
          <w:rFonts w:ascii="Times New Roman" w:hAnsi="Times New Roman" w:cs="Times New Roman"/>
          <w:sz w:val="24"/>
          <w:szCs w:val="24"/>
        </w:rPr>
        <w:t xml:space="preserve"> after relocation</w:t>
      </w:r>
      <w:r w:rsidR="003437D9" w:rsidRPr="008B39E1">
        <w:rPr>
          <w:rFonts w:ascii="Times New Roman" w:hAnsi="Times New Roman" w:cs="Times New Roman"/>
          <w:sz w:val="24"/>
          <w:szCs w:val="24"/>
        </w:rPr>
        <w:t xml:space="preserve">. </w:t>
      </w:r>
    </w:p>
    <w:p w14:paraId="62CAC826" w14:textId="0E2B9642" w:rsidR="00D1210E" w:rsidRPr="008B39E1" w:rsidRDefault="002F0B27" w:rsidP="00981B19">
      <w:pPr>
        <w:spacing w:after="0" w:line="480" w:lineRule="auto"/>
        <w:rPr>
          <w:rFonts w:ascii="Times New Roman" w:hAnsi="Times New Roman" w:cs="Times New Roman"/>
          <w:b/>
          <w:bCs/>
          <w:sz w:val="24"/>
          <w:szCs w:val="24"/>
        </w:rPr>
      </w:pPr>
      <w:r w:rsidRPr="008B39E1">
        <w:rPr>
          <w:rFonts w:ascii="Times New Roman" w:hAnsi="Times New Roman" w:cs="Times New Roman"/>
          <w:b/>
          <w:bCs/>
          <w:sz w:val="24"/>
          <w:szCs w:val="24"/>
        </w:rPr>
        <w:lastRenderedPageBreak/>
        <w:t>RQ2</w:t>
      </w:r>
      <w:r w:rsidR="00D8494D" w:rsidRPr="008B39E1">
        <w:rPr>
          <w:rFonts w:ascii="Times New Roman" w:hAnsi="Times New Roman" w:cs="Times New Roman"/>
          <w:b/>
          <w:bCs/>
          <w:sz w:val="24"/>
          <w:szCs w:val="24"/>
        </w:rPr>
        <w:t xml:space="preserve"> Results</w:t>
      </w:r>
    </w:p>
    <w:p w14:paraId="50A65B03" w14:textId="374CCCB0" w:rsidR="0040058C" w:rsidRPr="008B39E1" w:rsidRDefault="00BA5612"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In</w:t>
      </w:r>
      <w:r w:rsidR="00825695" w:rsidRPr="008B39E1">
        <w:rPr>
          <w:rFonts w:ascii="Times New Roman" w:hAnsi="Times New Roman" w:cs="Times New Roman"/>
          <w:sz w:val="24"/>
          <w:szCs w:val="24"/>
        </w:rPr>
        <w:t xml:space="preserve"> </w:t>
      </w:r>
      <w:r w:rsidR="00DC55B9" w:rsidRPr="008B39E1">
        <w:rPr>
          <w:rFonts w:ascii="Times New Roman" w:hAnsi="Times New Roman" w:cs="Times New Roman"/>
          <w:sz w:val="24"/>
          <w:szCs w:val="24"/>
        </w:rPr>
        <w:t>Table IV</w:t>
      </w:r>
      <w:r w:rsidR="00825695" w:rsidRPr="008B39E1">
        <w:rPr>
          <w:rFonts w:ascii="Times New Roman" w:hAnsi="Times New Roman" w:cs="Times New Roman"/>
          <w:sz w:val="24"/>
          <w:szCs w:val="24"/>
        </w:rPr>
        <w:t xml:space="preserve">, we </w:t>
      </w:r>
      <w:r w:rsidR="00B67E39" w:rsidRPr="008B39E1">
        <w:rPr>
          <w:rFonts w:ascii="Times New Roman" w:hAnsi="Times New Roman" w:cs="Times New Roman"/>
          <w:sz w:val="24"/>
          <w:szCs w:val="24"/>
        </w:rPr>
        <w:t xml:space="preserve">examine the effect of </w:t>
      </w:r>
      <w:r w:rsidR="00506827" w:rsidRPr="008B39E1">
        <w:rPr>
          <w:rFonts w:ascii="Times New Roman" w:hAnsi="Times New Roman" w:cs="Times New Roman"/>
          <w:sz w:val="24"/>
          <w:szCs w:val="24"/>
        </w:rPr>
        <w:t xml:space="preserve">relocations involving social capital changes on internal control effectiveness. </w:t>
      </w:r>
      <w:r w:rsidR="006B6DA8" w:rsidRPr="008B39E1">
        <w:rPr>
          <w:rFonts w:ascii="Times New Roman" w:hAnsi="Times New Roman" w:cs="Times New Roman"/>
          <w:sz w:val="24"/>
          <w:szCs w:val="24"/>
        </w:rPr>
        <w:t xml:space="preserve">Recall that our social capital measure proxies for </w:t>
      </w:r>
      <w:r w:rsidR="00323323" w:rsidRPr="008B39E1">
        <w:rPr>
          <w:rFonts w:ascii="Times New Roman" w:hAnsi="Times New Roman" w:cs="Times New Roman"/>
          <w:sz w:val="24"/>
          <w:szCs w:val="24"/>
        </w:rPr>
        <w:t xml:space="preserve">individuals’ attachments and involvements </w:t>
      </w:r>
      <w:r w:rsidR="00306367" w:rsidRPr="008B39E1">
        <w:rPr>
          <w:rFonts w:ascii="Times New Roman" w:hAnsi="Times New Roman" w:cs="Times New Roman"/>
          <w:sz w:val="24"/>
          <w:szCs w:val="24"/>
        </w:rPr>
        <w:t>to their communities</w:t>
      </w:r>
      <w:r w:rsidR="00EB03F8" w:rsidRPr="008B39E1">
        <w:rPr>
          <w:rFonts w:ascii="Times New Roman" w:hAnsi="Times New Roman" w:cs="Times New Roman"/>
          <w:sz w:val="24"/>
          <w:szCs w:val="24"/>
        </w:rPr>
        <w:t xml:space="preserve">, and so a change </w:t>
      </w:r>
      <w:r w:rsidR="002F4D95" w:rsidRPr="008B39E1">
        <w:rPr>
          <w:rFonts w:ascii="Times New Roman" w:hAnsi="Times New Roman" w:cs="Times New Roman"/>
          <w:sz w:val="24"/>
          <w:szCs w:val="24"/>
        </w:rPr>
        <w:t>in social capital represents</w:t>
      </w:r>
      <w:r w:rsidR="007949BD" w:rsidRPr="008B39E1">
        <w:rPr>
          <w:rFonts w:ascii="Times New Roman" w:hAnsi="Times New Roman" w:cs="Times New Roman"/>
          <w:sz w:val="24"/>
          <w:szCs w:val="24"/>
        </w:rPr>
        <w:t xml:space="preserve"> the breakage of existing social ties and the formation of new social ties, a significant </w:t>
      </w:r>
      <w:r w:rsidR="00E80A73" w:rsidRPr="008B39E1">
        <w:rPr>
          <w:rFonts w:ascii="Times New Roman" w:hAnsi="Times New Roman" w:cs="Times New Roman"/>
          <w:sz w:val="24"/>
          <w:szCs w:val="24"/>
        </w:rPr>
        <w:t>disruption.</w:t>
      </w:r>
      <w:r w:rsidR="00AE69F7" w:rsidRPr="008B39E1">
        <w:rPr>
          <w:rStyle w:val="FootnoteReference"/>
          <w:rFonts w:ascii="Times New Roman" w:hAnsi="Times New Roman" w:cs="Times New Roman"/>
          <w:sz w:val="24"/>
          <w:szCs w:val="24"/>
        </w:rPr>
        <w:footnoteReference w:id="28"/>
      </w:r>
      <w:r w:rsidR="00A45C0C" w:rsidRPr="008B39E1">
        <w:rPr>
          <w:rFonts w:ascii="Times New Roman" w:hAnsi="Times New Roman" w:cs="Times New Roman"/>
          <w:sz w:val="24"/>
          <w:szCs w:val="24"/>
        </w:rPr>
        <w:t xml:space="preserve"> In Columns (1) and (2) of </w:t>
      </w:r>
      <w:r w:rsidR="00DC55B9" w:rsidRPr="008B39E1">
        <w:rPr>
          <w:rFonts w:ascii="Times New Roman" w:hAnsi="Times New Roman" w:cs="Times New Roman"/>
          <w:sz w:val="24"/>
          <w:szCs w:val="24"/>
        </w:rPr>
        <w:t>Table IV</w:t>
      </w:r>
      <w:r w:rsidR="00A4440E" w:rsidRPr="008B39E1">
        <w:rPr>
          <w:rFonts w:ascii="Times New Roman" w:hAnsi="Times New Roman" w:cs="Times New Roman"/>
          <w:sz w:val="24"/>
          <w:szCs w:val="24"/>
        </w:rPr>
        <w:t xml:space="preserve">, we interact </w:t>
      </w:r>
      <w:proofErr w:type="spellStart"/>
      <w:r w:rsidR="00D147A1" w:rsidRPr="008B39E1">
        <w:rPr>
          <w:rFonts w:ascii="Times New Roman" w:hAnsi="Times New Roman" w:cs="Times New Roman"/>
          <w:i/>
          <w:iCs/>
          <w:sz w:val="24"/>
          <w:szCs w:val="24"/>
        </w:rPr>
        <w:t>RELOCATE</w:t>
      </w:r>
      <w:r w:rsidR="00A4440E" w:rsidRPr="008B39E1">
        <w:rPr>
          <w:rFonts w:ascii="Times New Roman" w:hAnsi="Times New Roman" w:cs="Times New Roman"/>
          <w:i/>
          <w:iCs/>
          <w:sz w:val="24"/>
          <w:szCs w:val="24"/>
        </w:rPr>
        <w:t>xPOST</w:t>
      </w:r>
      <w:proofErr w:type="spellEnd"/>
      <w:r w:rsidR="00A4440E" w:rsidRPr="008B39E1">
        <w:rPr>
          <w:rFonts w:ascii="Times New Roman" w:hAnsi="Times New Roman" w:cs="Times New Roman"/>
          <w:b/>
          <w:bCs/>
          <w:i/>
          <w:iCs/>
          <w:sz w:val="24"/>
          <w:szCs w:val="24"/>
        </w:rPr>
        <w:t xml:space="preserve"> </w:t>
      </w:r>
      <w:r w:rsidR="00A4440E" w:rsidRPr="008B39E1">
        <w:rPr>
          <w:rFonts w:ascii="Times New Roman" w:hAnsi="Times New Roman" w:cs="Times New Roman"/>
          <w:sz w:val="24"/>
          <w:szCs w:val="24"/>
        </w:rPr>
        <w:t xml:space="preserve"> with an i</w:t>
      </w:r>
      <w:r w:rsidR="00F075DC" w:rsidRPr="008B39E1">
        <w:rPr>
          <w:rFonts w:ascii="Times New Roman" w:hAnsi="Times New Roman" w:cs="Times New Roman"/>
          <w:sz w:val="24"/>
          <w:szCs w:val="24"/>
        </w:rPr>
        <w:t>ndicator for social capital change (</w:t>
      </w:r>
      <w:proofErr w:type="spellStart"/>
      <w:r w:rsidR="00F075DC" w:rsidRPr="008B39E1">
        <w:rPr>
          <w:rFonts w:ascii="Times New Roman" w:hAnsi="Times New Roman" w:cs="Times New Roman"/>
          <w:i/>
          <w:iCs/>
          <w:sz w:val="24"/>
          <w:szCs w:val="24"/>
        </w:rPr>
        <w:t>C</w:t>
      </w:r>
      <w:r w:rsidR="00903E59" w:rsidRPr="008B39E1">
        <w:rPr>
          <w:rFonts w:ascii="Times New Roman" w:hAnsi="Times New Roman" w:cs="Times New Roman"/>
          <w:i/>
          <w:iCs/>
          <w:sz w:val="24"/>
          <w:szCs w:val="24"/>
        </w:rPr>
        <w:t>H</w:t>
      </w:r>
      <w:r w:rsidR="00F075DC" w:rsidRPr="008B39E1">
        <w:rPr>
          <w:rFonts w:ascii="Times New Roman" w:hAnsi="Times New Roman" w:cs="Times New Roman"/>
          <w:i/>
          <w:iCs/>
          <w:sz w:val="24"/>
          <w:szCs w:val="24"/>
        </w:rPr>
        <w:t>SC</w:t>
      </w:r>
      <w:proofErr w:type="spellEnd"/>
      <w:r w:rsidR="00F075DC" w:rsidRPr="008B39E1">
        <w:rPr>
          <w:rFonts w:ascii="Times New Roman" w:hAnsi="Times New Roman" w:cs="Times New Roman"/>
          <w:sz w:val="24"/>
          <w:szCs w:val="24"/>
        </w:rPr>
        <w:t xml:space="preserve">) and absolute raw changes in </w:t>
      </w:r>
      <w:r w:rsidR="00761D7C" w:rsidRPr="008B39E1">
        <w:rPr>
          <w:rFonts w:ascii="Times New Roman" w:hAnsi="Times New Roman" w:cs="Times New Roman"/>
          <w:sz w:val="24"/>
          <w:szCs w:val="24"/>
        </w:rPr>
        <w:t>the social capital index (</w:t>
      </w:r>
      <w:proofErr w:type="spellStart"/>
      <w:r w:rsidR="00761D7C" w:rsidRPr="008B39E1">
        <w:rPr>
          <w:rFonts w:ascii="Times New Roman" w:hAnsi="Times New Roman" w:cs="Times New Roman"/>
          <w:i/>
          <w:iCs/>
          <w:sz w:val="24"/>
          <w:szCs w:val="24"/>
        </w:rPr>
        <w:t>C</w:t>
      </w:r>
      <w:r w:rsidR="00903E59" w:rsidRPr="008B39E1">
        <w:rPr>
          <w:rFonts w:ascii="Times New Roman" w:hAnsi="Times New Roman" w:cs="Times New Roman"/>
          <w:i/>
          <w:iCs/>
          <w:sz w:val="24"/>
          <w:szCs w:val="24"/>
        </w:rPr>
        <w:t>H</w:t>
      </w:r>
      <w:r w:rsidR="00761D7C" w:rsidRPr="008B39E1">
        <w:rPr>
          <w:rFonts w:ascii="Times New Roman" w:hAnsi="Times New Roman" w:cs="Times New Roman"/>
          <w:i/>
          <w:iCs/>
          <w:sz w:val="24"/>
          <w:szCs w:val="24"/>
        </w:rPr>
        <w:t>SCraw</w:t>
      </w:r>
      <w:proofErr w:type="spellEnd"/>
      <w:r w:rsidR="00761D7C" w:rsidRPr="008B39E1">
        <w:rPr>
          <w:rFonts w:ascii="Times New Roman" w:hAnsi="Times New Roman" w:cs="Times New Roman"/>
          <w:sz w:val="24"/>
          <w:szCs w:val="24"/>
        </w:rPr>
        <w:t xml:space="preserve">), respectively. </w:t>
      </w:r>
      <w:r w:rsidR="00A8380E" w:rsidRPr="008B39E1">
        <w:rPr>
          <w:rFonts w:ascii="Times New Roman" w:hAnsi="Times New Roman" w:cs="Times New Roman"/>
          <w:sz w:val="24"/>
          <w:szCs w:val="24"/>
        </w:rPr>
        <w:t>We find positive an</w:t>
      </w:r>
      <w:r w:rsidR="00781666" w:rsidRPr="008B39E1">
        <w:rPr>
          <w:rFonts w:ascii="Times New Roman" w:hAnsi="Times New Roman" w:cs="Times New Roman"/>
          <w:sz w:val="24"/>
          <w:szCs w:val="24"/>
        </w:rPr>
        <w:t xml:space="preserve">d significant coefficients </w:t>
      </w:r>
      <w:r w:rsidR="00EC216F" w:rsidRPr="008B39E1">
        <w:rPr>
          <w:rFonts w:ascii="Times New Roman" w:hAnsi="Times New Roman" w:cs="Times New Roman"/>
          <w:sz w:val="24"/>
          <w:szCs w:val="24"/>
        </w:rPr>
        <w:t xml:space="preserve">for </w:t>
      </w:r>
      <w:proofErr w:type="spellStart"/>
      <w:r w:rsidR="00D147A1" w:rsidRPr="008B39E1">
        <w:rPr>
          <w:rFonts w:ascii="Times New Roman" w:hAnsi="Times New Roman" w:cs="Times New Roman"/>
          <w:i/>
          <w:iCs/>
          <w:sz w:val="24"/>
          <w:szCs w:val="24"/>
        </w:rPr>
        <w:t>RELOCATE</w:t>
      </w:r>
      <w:r w:rsidR="00EC216F" w:rsidRPr="008B39E1">
        <w:rPr>
          <w:rFonts w:ascii="Times New Roman" w:hAnsi="Times New Roman" w:cs="Times New Roman"/>
          <w:i/>
          <w:iCs/>
          <w:sz w:val="24"/>
          <w:szCs w:val="24"/>
        </w:rPr>
        <w:t>xPOSTxC</w:t>
      </w:r>
      <w:r w:rsidR="00903E59" w:rsidRPr="008B39E1">
        <w:rPr>
          <w:rFonts w:ascii="Times New Roman" w:hAnsi="Times New Roman" w:cs="Times New Roman"/>
          <w:i/>
          <w:iCs/>
          <w:sz w:val="24"/>
          <w:szCs w:val="24"/>
        </w:rPr>
        <w:t>H</w:t>
      </w:r>
      <w:r w:rsidR="00EC216F" w:rsidRPr="008B39E1">
        <w:rPr>
          <w:rFonts w:ascii="Times New Roman" w:hAnsi="Times New Roman" w:cs="Times New Roman"/>
          <w:i/>
          <w:iCs/>
          <w:sz w:val="24"/>
          <w:szCs w:val="24"/>
        </w:rPr>
        <w:t>SC</w:t>
      </w:r>
      <w:proofErr w:type="spellEnd"/>
      <w:r w:rsidR="00EC216F" w:rsidRPr="008B39E1">
        <w:rPr>
          <w:rFonts w:ascii="Times New Roman" w:hAnsi="Times New Roman" w:cs="Times New Roman"/>
          <w:sz w:val="24"/>
          <w:szCs w:val="24"/>
        </w:rPr>
        <w:t xml:space="preserve"> and </w:t>
      </w:r>
      <w:proofErr w:type="spellStart"/>
      <w:r w:rsidR="00D147A1" w:rsidRPr="008B39E1">
        <w:rPr>
          <w:rFonts w:ascii="Times New Roman" w:hAnsi="Times New Roman" w:cs="Times New Roman"/>
          <w:i/>
          <w:iCs/>
          <w:sz w:val="24"/>
          <w:szCs w:val="24"/>
        </w:rPr>
        <w:t>RELOCATE</w:t>
      </w:r>
      <w:r w:rsidR="00EC216F" w:rsidRPr="008B39E1">
        <w:rPr>
          <w:rFonts w:ascii="Times New Roman" w:hAnsi="Times New Roman" w:cs="Times New Roman"/>
          <w:i/>
          <w:iCs/>
          <w:sz w:val="24"/>
          <w:szCs w:val="24"/>
        </w:rPr>
        <w:t>xPOSTx</w:t>
      </w:r>
      <w:r w:rsidR="004832BF" w:rsidRPr="008B39E1">
        <w:rPr>
          <w:rFonts w:ascii="Times New Roman" w:hAnsi="Times New Roman" w:cs="Times New Roman"/>
          <w:i/>
          <w:iCs/>
          <w:sz w:val="24"/>
          <w:szCs w:val="24"/>
        </w:rPr>
        <w:t>C</w:t>
      </w:r>
      <w:r w:rsidR="00903E59" w:rsidRPr="008B39E1">
        <w:rPr>
          <w:rFonts w:ascii="Times New Roman" w:hAnsi="Times New Roman" w:cs="Times New Roman"/>
          <w:i/>
          <w:iCs/>
          <w:sz w:val="24"/>
          <w:szCs w:val="24"/>
        </w:rPr>
        <w:t>H</w:t>
      </w:r>
      <w:r w:rsidR="004832BF" w:rsidRPr="008B39E1">
        <w:rPr>
          <w:rFonts w:ascii="Times New Roman" w:hAnsi="Times New Roman" w:cs="Times New Roman"/>
          <w:i/>
          <w:iCs/>
          <w:sz w:val="24"/>
          <w:szCs w:val="24"/>
        </w:rPr>
        <w:t>SCraw</w:t>
      </w:r>
      <w:proofErr w:type="spellEnd"/>
      <w:r w:rsidR="004832BF" w:rsidRPr="008B39E1">
        <w:rPr>
          <w:rFonts w:ascii="Times New Roman" w:hAnsi="Times New Roman" w:cs="Times New Roman"/>
          <w:sz w:val="24"/>
          <w:szCs w:val="24"/>
        </w:rPr>
        <w:t xml:space="preserve">, </w:t>
      </w:r>
      <w:r w:rsidR="006D09C9" w:rsidRPr="008B39E1">
        <w:rPr>
          <w:rFonts w:ascii="Times New Roman" w:hAnsi="Times New Roman" w:cs="Times New Roman"/>
          <w:sz w:val="24"/>
          <w:szCs w:val="24"/>
        </w:rPr>
        <w:t>indicating</w:t>
      </w:r>
      <w:r w:rsidR="004832BF" w:rsidRPr="008B39E1">
        <w:rPr>
          <w:rFonts w:ascii="Times New Roman" w:hAnsi="Times New Roman" w:cs="Times New Roman"/>
          <w:sz w:val="24"/>
          <w:szCs w:val="24"/>
        </w:rPr>
        <w:t xml:space="preserve"> that relocations involving any</w:t>
      </w:r>
      <w:r w:rsidR="002773D4" w:rsidRPr="008B39E1">
        <w:rPr>
          <w:rFonts w:ascii="Times New Roman" w:hAnsi="Times New Roman" w:cs="Times New Roman"/>
          <w:sz w:val="24"/>
          <w:szCs w:val="24"/>
        </w:rPr>
        <w:t xml:space="preserve"> and greater</w:t>
      </w:r>
      <w:r w:rsidR="004832BF" w:rsidRPr="008B39E1">
        <w:rPr>
          <w:rFonts w:ascii="Times New Roman" w:hAnsi="Times New Roman" w:cs="Times New Roman"/>
          <w:sz w:val="24"/>
          <w:szCs w:val="24"/>
        </w:rPr>
        <w:t xml:space="preserve"> social capital changes </w:t>
      </w:r>
      <w:r w:rsidR="002773D4" w:rsidRPr="008B39E1">
        <w:rPr>
          <w:rFonts w:ascii="Times New Roman" w:hAnsi="Times New Roman" w:cs="Times New Roman"/>
          <w:sz w:val="24"/>
          <w:szCs w:val="24"/>
        </w:rPr>
        <w:t xml:space="preserve">are detrimental to </w:t>
      </w:r>
      <w:r w:rsidR="00762337" w:rsidRPr="008B39E1">
        <w:rPr>
          <w:rFonts w:ascii="Times New Roman" w:hAnsi="Times New Roman" w:cs="Times New Roman"/>
          <w:sz w:val="24"/>
          <w:szCs w:val="24"/>
        </w:rPr>
        <w:t>internal control effectiveness of the relocating firms.</w:t>
      </w:r>
      <w:r w:rsidR="007D5F88" w:rsidRPr="008B39E1">
        <w:rPr>
          <w:rFonts w:ascii="Times New Roman" w:hAnsi="Times New Roman" w:cs="Times New Roman"/>
          <w:sz w:val="24"/>
          <w:szCs w:val="24"/>
        </w:rPr>
        <w:t xml:space="preserve"> </w:t>
      </w:r>
    </w:p>
    <w:p w14:paraId="40775C12" w14:textId="4C31DAAA" w:rsidR="00D85205" w:rsidRPr="008B39E1" w:rsidRDefault="00D5702F" w:rsidP="00981B19">
      <w:pPr>
        <w:spacing w:after="0" w:line="480" w:lineRule="auto"/>
        <w:ind w:firstLine="720"/>
        <w:rPr>
          <w:rFonts w:ascii="Times New Roman" w:hAnsi="Times New Roman" w:cs="Times New Roman"/>
          <w:b/>
          <w:bCs/>
          <w:sz w:val="24"/>
          <w:szCs w:val="24"/>
        </w:rPr>
      </w:pPr>
      <w:r w:rsidRPr="008B39E1">
        <w:rPr>
          <w:rFonts w:ascii="Times New Roman" w:hAnsi="Times New Roman" w:cs="Times New Roman"/>
          <w:sz w:val="24"/>
          <w:szCs w:val="24"/>
        </w:rPr>
        <w:t>As discussed, p</w:t>
      </w:r>
      <w:r w:rsidR="00B31658" w:rsidRPr="008B39E1">
        <w:rPr>
          <w:rFonts w:ascii="Times New Roman" w:hAnsi="Times New Roman" w:cs="Times New Roman"/>
          <w:sz w:val="24"/>
          <w:szCs w:val="24"/>
        </w:rPr>
        <w:t>revious research distinguishes between two aspects, norms and networks, of social capital (</w:t>
      </w:r>
      <w:r w:rsidR="00B31658" w:rsidRPr="008B39E1">
        <w:rPr>
          <w:rFonts w:ascii="Times New Roman" w:hAnsi="Times New Roman" w:cs="Times New Roman"/>
          <w:noProof/>
          <w:sz w:val="24"/>
          <w:szCs w:val="24"/>
        </w:rPr>
        <w:t>Jha</w:t>
      </w:r>
      <w:r w:rsidR="00EB3D51" w:rsidRPr="008B39E1">
        <w:rPr>
          <w:rFonts w:ascii="Times New Roman" w:hAnsi="Times New Roman" w:cs="Times New Roman"/>
          <w:noProof/>
          <w:sz w:val="24"/>
          <w:szCs w:val="24"/>
        </w:rPr>
        <w:t>,</w:t>
      </w:r>
      <w:r w:rsidR="00B31658" w:rsidRPr="008B39E1">
        <w:rPr>
          <w:rFonts w:ascii="Times New Roman" w:hAnsi="Times New Roman" w:cs="Times New Roman"/>
          <w:noProof/>
          <w:sz w:val="24"/>
          <w:szCs w:val="24"/>
        </w:rPr>
        <w:t xml:space="preserve"> 2019; Krishnan </w:t>
      </w:r>
      <w:r w:rsidR="00ED2DA4" w:rsidRPr="008B39E1">
        <w:rPr>
          <w:rFonts w:ascii="Times New Roman" w:hAnsi="Times New Roman" w:cs="Times New Roman"/>
          <w:i/>
          <w:noProof/>
          <w:sz w:val="24"/>
          <w:szCs w:val="24"/>
        </w:rPr>
        <w:t>et al</w:t>
      </w:r>
      <w:r w:rsidR="00B31658" w:rsidRPr="008B39E1">
        <w:rPr>
          <w:rFonts w:ascii="Times New Roman" w:hAnsi="Times New Roman" w:cs="Times New Roman"/>
          <w:noProof/>
          <w:sz w:val="24"/>
          <w:szCs w:val="24"/>
        </w:rPr>
        <w:t>.</w:t>
      </w:r>
      <w:r w:rsidR="00EB3D51" w:rsidRPr="008B39E1">
        <w:rPr>
          <w:rFonts w:ascii="Times New Roman" w:hAnsi="Times New Roman" w:cs="Times New Roman"/>
          <w:noProof/>
          <w:sz w:val="24"/>
          <w:szCs w:val="24"/>
        </w:rPr>
        <w:t>,</w:t>
      </w:r>
      <w:r w:rsidR="00B31658" w:rsidRPr="008B39E1">
        <w:rPr>
          <w:rFonts w:ascii="Times New Roman" w:hAnsi="Times New Roman" w:cs="Times New Roman"/>
          <w:noProof/>
          <w:sz w:val="24"/>
          <w:szCs w:val="24"/>
        </w:rPr>
        <w:t xml:space="preserve"> 2021). </w:t>
      </w:r>
      <w:r w:rsidR="007D5F88" w:rsidRPr="008B39E1">
        <w:rPr>
          <w:rFonts w:ascii="Times New Roman" w:hAnsi="Times New Roman" w:cs="Times New Roman"/>
          <w:sz w:val="24"/>
          <w:szCs w:val="24"/>
        </w:rPr>
        <w:t>In Columns (3) through (6)</w:t>
      </w:r>
      <w:r w:rsidR="00BE530B" w:rsidRPr="008B39E1">
        <w:rPr>
          <w:rFonts w:ascii="Times New Roman" w:hAnsi="Times New Roman" w:cs="Times New Roman"/>
          <w:sz w:val="24"/>
          <w:szCs w:val="24"/>
        </w:rPr>
        <w:t xml:space="preserve"> of Table IV</w:t>
      </w:r>
      <w:r w:rsidR="007D5F88" w:rsidRPr="008B39E1">
        <w:rPr>
          <w:rFonts w:ascii="Times New Roman" w:hAnsi="Times New Roman" w:cs="Times New Roman"/>
          <w:sz w:val="24"/>
          <w:szCs w:val="24"/>
        </w:rPr>
        <w:t xml:space="preserve">, we </w:t>
      </w:r>
      <w:r w:rsidR="002169A9" w:rsidRPr="008B39E1">
        <w:rPr>
          <w:rFonts w:ascii="Times New Roman" w:hAnsi="Times New Roman" w:cs="Times New Roman"/>
          <w:sz w:val="24"/>
          <w:szCs w:val="24"/>
        </w:rPr>
        <w:t xml:space="preserve">investigate whether </w:t>
      </w:r>
      <w:r w:rsidR="00BE530B" w:rsidRPr="008B39E1">
        <w:rPr>
          <w:rFonts w:ascii="Times New Roman" w:hAnsi="Times New Roman" w:cs="Times New Roman"/>
          <w:sz w:val="24"/>
          <w:szCs w:val="24"/>
        </w:rPr>
        <w:t xml:space="preserve">change in </w:t>
      </w:r>
      <w:r w:rsidR="00115A5F" w:rsidRPr="008B39E1">
        <w:rPr>
          <w:rFonts w:ascii="Times New Roman" w:hAnsi="Times New Roman" w:cs="Times New Roman"/>
          <w:sz w:val="24"/>
          <w:szCs w:val="24"/>
        </w:rPr>
        <w:t xml:space="preserve">either </w:t>
      </w:r>
      <w:r w:rsidR="002169A9" w:rsidRPr="008B39E1">
        <w:rPr>
          <w:rFonts w:ascii="Times New Roman" w:hAnsi="Times New Roman" w:cs="Times New Roman"/>
          <w:sz w:val="24"/>
          <w:szCs w:val="24"/>
        </w:rPr>
        <w:t xml:space="preserve">or both </w:t>
      </w:r>
      <w:r w:rsidR="00BE530B" w:rsidRPr="008B39E1">
        <w:rPr>
          <w:rFonts w:ascii="Times New Roman" w:hAnsi="Times New Roman" w:cs="Times New Roman"/>
          <w:sz w:val="24"/>
          <w:szCs w:val="24"/>
        </w:rPr>
        <w:t xml:space="preserve">components </w:t>
      </w:r>
      <w:r w:rsidR="00504DD9" w:rsidRPr="008B39E1">
        <w:rPr>
          <w:rFonts w:ascii="Times New Roman" w:hAnsi="Times New Roman" w:cs="Times New Roman"/>
          <w:sz w:val="24"/>
          <w:szCs w:val="24"/>
        </w:rPr>
        <w:t>contribute to our findings in Columns (1) and (2)</w:t>
      </w:r>
      <w:r w:rsidR="004127C9" w:rsidRPr="008B39E1">
        <w:rPr>
          <w:rFonts w:ascii="Times New Roman" w:hAnsi="Times New Roman" w:cs="Times New Roman"/>
          <w:sz w:val="24"/>
          <w:szCs w:val="24"/>
        </w:rPr>
        <w:t xml:space="preserve">. </w:t>
      </w:r>
      <w:proofErr w:type="gramStart"/>
      <w:r w:rsidR="00473D97" w:rsidRPr="008B39E1">
        <w:rPr>
          <w:rFonts w:ascii="Times New Roman" w:hAnsi="Times New Roman" w:cs="Times New Roman"/>
          <w:sz w:val="24"/>
          <w:szCs w:val="24"/>
        </w:rPr>
        <w:t>Similar to</w:t>
      </w:r>
      <w:proofErr w:type="gramEnd"/>
      <w:r w:rsidR="00473D97" w:rsidRPr="008B39E1">
        <w:rPr>
          <w:rFonts w:ascii="Times New Roman" w:hAnsi="Times New Roman" w:cs="Times New Roman"/>
          <w:sz w:val="24"/>
          <w:szCs w:val="24"/>
        </w:rPr>
        <w:t xml:space="preserve"> our analyses in Columns (1) and (2), we </w:t>
      </w:r>
      <w:r w:rsidR="005F2D92" w:rsidRPr="008B39E1">
        <w:rPr>
          <w:rFonts w:ascii="Times New Roman" w:hAnsi="Times New Roman" w:cs="Times New Roman"/>
          <w:sz w:val="24"/>
          <w:szCs w:val="24"/>
        </w:rPr>
        <w:t xml:space="preserve">interact </w:t>
      </w:r>
      <w:proofErr w:type="spellStart"/>
      <w:r w:rsidR="00D147A1" w:rsidRPr="008B39E1">
        <w:rPr>
          <w:rFonts w:ascii="Times New Roman" w:hAnsi="Times New Roman" w:cs="Times New Roman"/>
          <w:i/>
          <w:iCs/>
          <w:sz w:val="24"/>
          <w:szCs w:val="24"/>
        </w:rPr>
        <w:t>RELOCATE</w:t>
      </w:r>
      <w:r w:rsidR="005F2D92" w:rsidRPr="008B39E1">
        <w:rPr>
          <w:rFonts w:ascii="Times New Roman" w:hAnsi="Times New Roman" w:cs="Times New Roman"/>
          <w:i/>
          <w:iCs/>
          <w:sz w:val="24"/>
          <w:szCs w:val="24"/>
        </w:rPr>
        <w:t>xPOST</w:t>
      </w:r>
      <w:proofErr w:type="spellEnd"/>
      <w:r w:rsidR="005F2D92" w:rsidRPr="008B39E1">
        <w:rPr>
          <w:rFonts w:ascii="Times New Roman" w:hAnsi="Times New Roman" w:cs="Times New Roman"/>
          <w:sz w:val="24"/>
          <w:szCs w:val="24"/>
        </w:rPr>
        <w:t xml:space="preserve"> with an indicator for </w:t>
      </w:r>
      <w:r w:rsidR="005A4676" w:rsidRPr="008B39E1">
        <w:rPr>
          <w:rFonts w:ascii="Times New Roman" w:hAnsi="Times New Roman" w:cs="Times New Roman"/>
          <w:sz w:val="24"/>
          <w:szCs w:val="24"/>
        </w:rPr>
        <w:t xml:space="preserve">norms or network social capital (Columns (3) and (5)) and </w:t>
      </w:r>
      <w:r w:rsidR="00906900" w:rsidRPr="008B39E1">
        <w:rPr>
          <w:rFonts w:ascii="Times New Roman" w:hAnsi="Times New Roman" w:cs="Times New Roman"/>
          <w:sz w:val="24"/>
          <w:szCs w:val="24"/>
        </w:rPr>
        <w:t xml:space="preserve">absolute </w:t>
      </w:r>
      <w:r w:rsidR="005A4676" w:rsidRPr="008B39E1">
        <w:rPr>
          <w:rFonts w:ascii="Times New Roman" w:hAnsi="Times New Roman" w:cs="Times New Roman"/>
          <w:sz w:val="24"/>
          <w:szCs w:val="24"/>
        </w:rPr>
        <w:t xml:space="preserve">raw changes in norms and networks (Columns (4) and (6)). </w:t>
      </w:r>
      <w:r w:rsidR="00EA1B45" w:rsidRPr="008B39E1">
        <w:rPr>
          <w:rFonts w:ascii="Times New Roman" w:hAnsi="Times New Roman" w:cs="Times New Roman"/>
          <w:sz w:val="24"/>
          <w:szCs w:val="24"/>
        </w:rPr>
        <w:t>We find positive and significant coefficients</w:t>
      </w:r>
      <w:r w:rsidR="002F1906" w:rsidRPr="008B39E1">
        <w:rPr>
          <w:rFonts w:ascii="Times New Roman" w:hAnsi="Times New Roman" w:cs="Times New Roman"/>
          <w:sz w:val="24"/>
          <w:szCs w:val="24"/>
        </w:rPr>
        <w:t xml:space="preserve"> of similar magnitudes</w:t>
      </w:r>
      <w:r w:rsidR="00EA1B45" w:rsidRPr="008B39E1">
        <w:rPr>
          <w:rFonts w:ascii="Times New Roman" w:hAnsi="Times New Roman" w:cs="Times New Roman"/>
          <w:sz w:val="24"/>
          <w:szCs w:val="24"/>
        </w:rPr>
        <w:t xml:space="preserve"> for </w:t>
      </w:r>
      <w:proofErr w:type="spellStart"/>
      <w:r w:rsidR="00D147A1" w:rsidRPr="008B39E1">
        <w:rPr>
          <w:rFonts w:ascii="Times New Roman" w:hAnsi="Times New Roman" w:cs="Times New Roman"/>
          <w:i/>
          <w:iCs/>
          <w:sz w:val="24"/>
          <w:szCs w:val="24"/>
        </w:rPr>
        <w:t>RELOCATE</w:t>
      </w:r>
      <w:r w:rsidR="00EA1B45" w:rsidRPr="008B39E1">
        <w:rPr>
          <w:rFonts w:ascii="Times New Roman" w:hAnsi="Times New Roman" w:cs="Times New Roman"/>
          <w:i/>
          <w:iCs/>
          <w:sz w:val="24"/>
          <w:szCs w:val="24"/>
        </w:rPr>
        <w:t>xPOSTxC</w:t>
      </w:r>
      <w:r w:rsidR="00903E59" w:rsidRPr="008B39E1">
        <w:rPr>
          <w:rFonts w:ascii="Times New Roman" w:hAnsi="Times New Roman" w:cs="Times New Roman"/>
          <w:i/>
          <w:iCs/>
          <w:sz w:val="24"/>
          <w:szCs w:val="24"/>
        </w:rPr>
        <w:t>H</w:t>
      </w:r>
      <w:r w:rsidR="00EA1B45" w:rsidRPr="008B39E1">
        <w:rPr>
          <w:rFonts w:ascii="Times New Roman" w:hAnsi="Times New Roman" w:cs="Times New Roman"/>
          <w:i/>
          <w:iCs/>
          <w:sz w:val="24"/>
          <w:szCs w:val="24"/>
        </w:rPr>
        <w:t>NORMS</w:t>
      </w:r>
      <w:proofErr w:type="spellEnd"/>
      <w:r w:rsidR="00EA1B45" w:rsidRPr="008B39E1">
        <w:rPr>
          <w:rFonts w:ascii="Times New Roman" w:hAnsi="Times New Roman" w:cs="Times New Roman"/>
          <w:i/>
          <w:iCs/>
          <w:sz w:val="24"/>
          <w:szCs w:val="24"/>
        </w:rPr>
        <w:t xml:space="preserve">, </w:t>
      </w:r>
      <w:proofErr w:type="spellStart"/>
      <w:r w:rsidR="00D147A1" w:rsidRPr="008B39E1">
        <w:rPr>
          <w:rFonts w:ascii="Times New Roman" w:hAnsi="Times New Roman" w:cs="Times New Roman"/>
          <w:i/>
          <w:iCs/>
          <w:sz w:val="24"/>
          <w:szCs w:val="24"/>
        </w:rPr>
        <w:t>RELOCATE</w:t>
      </w:r>
      <w:r w:rsidR="00EA1B45" w:rsidRPr="008B39E1">
        <w:rPr>
          <w:rFonts w:ascii="Times New Roman" w:hAnsi="Times New Roman" w:cs="Times New Roman"/>
          <w:i/>
          <w:iCs/>
          <w:sz w:val="24"/>
          <w:szCs w:val="24"/>
        </w:rPr>
        <w:t>xPOSTx</w:t>
      </w:r>
      <w:r w:rsidR="00C866C8" w:rsidRPr="008B39E1">
        <w:rPr>
          <w:rFonts w:ascii="Times New Roman" w:hAnsi="Times New Roman" w:cs="Times New Roman"/>
          <w:i/>
          <w:iCs/>
          <w:sz w:val="24"/>
          <w:szCs w:val="24"/>
        </w:rPr>
        <w:t>NORMSraw</w:t>
      </w:r>
      <w:proofErr w:type="spellEnd"/>
      <w:r w:rsidR="00C866C8" w:rsidRPr="008B39E1">
        <w:rPr>
          <w:rFonts w:ascii="Times New Roman" w:hAnsi="Times New Roman" w:cs="Times New Roman"/>
          <w:i/>
          <w:iCs/>
          <w:sz w:val="24"/>
          <w:szCs w:val="24"/>
        </w:rPr>
        <w:t xml:space="preserve">, </w:t>
      </w:r>
      <w:proofErr w:type="spellStart"/>
      <w:r w:rsidR="00D147A1" w:rsidRPr="008B39E1">
        <w:rPr>
          <w:rFonts w:ascii="Times New Roman" w:hAnsi="Times New Roman" w:cs="Times New Roman"/>
          <w:i/>
          <w:iCs/>
          <w:sz w:val="24"/>
          <w:szCs w:val="24"/>
        </w:rPr>
        <w:t>RELOCATE</w:t>
      </w:r>
      <w:r w:rsidR="00C866C8" w:rsidRPr="008B39E1">
        <w:rPr>
          <w:rFonts w:ascii="Times New Roman" w:hAnsi="Times New Roman" w:cs="Times New Roman"/>
          <w:i/>
          <w:iCs/>
          <w:sz w:val="24"/>
          <w:szCs w:val="24"/>
        </w:rPr>
        <w:t>xPOSTxC</w:t>
      </w:r>
      <w:r w:rsidR="00903E59" w:rsidRPr="008B39E1">
        <w:rPr>
          <w:rFonts w:ascii="Times New Roman" w:hAnsi="Times New Roman" w:cs="Times New Roman"/>
          <w:i/>
          <w:iCs/>
          <w:sz w:val="24"/>
          <w:szCs w:val="24"/>
        </w:rPr>
        <w:t>H</w:t>
      </w:r>
      <w:r w:rsidR="00C866C8" w:rsidRPr="008B39E1">
        <w:rPr>
          <w:rFonts w:ascii="Times New Roman" w:hAnsi="Times New Roman" w:cs="Times New Roman"/>
          <w:i/>
          <w:iCs/>
          <w:sz w:val="24"/>
          <w:szCs w:val="24"/>
        </w:rPr>
        <w:t>NETW</w:t>
      </w:r>
      <w:proofErr w:type="spellEnd"/>
      <w:r w:rsidR="00C866C8" w:rsidRPr="008B39E1">
        <w:rPr>
          <w:rFonts w:ascii="Times New Roman" w:hAnsi="Times New Roman" w:cs="Times New Roman"/>
          <w:i/>
          <w:iCs/>
          <w:sz w:val="24"/>
          <w:szCs w:val="24"/>
        </w:rPr>
        <w:t xml:space="preserve">, </w:t>
      </w:r>
      <w:r w:rsidR="00C866C8" w:rsidRPr="008B39E1">
        <w:rPr>
          <w:rFonts w:ascii="Times New Roman" w:hAnsi="Times New Roman" w:cs="Times New Roman"/>
          <w:sz w:val="24"/>
          <w:szCs w:val="24"/>
        </w:rPr>
        <w:t xml:space="preserve">and </w:t>
      </w:r>
      <w:proofErr w:type="spellStart"/>
      <w:r w:rsidR="00D147A1" w:rsidRPr="008B39E1">
        <w:rPr>
          <w:rFonts w:ascii="Times New Roman" w:hAnsi="Times New Roman" w:cs="Times New Roman"/>
          <w:i/>
          <w:iCs/>
          <w:sz w:val="24"/>
          <w:szCs w:val="24"/>
        </w:rPr>
        <w:t>RELOCATE</w:t>
      </w:r>
      <w:r w:rsidR="00C866C8" w:rsidRPr="008B39E1">
        <w:rPr>
          <w:rFonts w:ascii="Times New Roman" w:hAnsi="Times New Roman" w:cs="Times New Roman"/>
          <w:i/>
          <w:iCs/>
          <w:sz w:val="24"/>
          <w:szCs w:val="24"/>
        </w:rPr>
        <w:t>xPOSTxNETWraw</w:t>
      </w:r>
      <w:proofErr w:type="spellEnd"/>
      <w:r w:rsidR="005D0321" w:rsidRPr="008B39E1">
        <w:rPr>
          <w:rFonts w:ascii="Times New Roman" w:hAnsi="Times New Roman" w:cs="Times New Roman"/>
          <w:i/>
          <w:iCs/>
          <w:sz w:val="24"/>
          <w:szCs w:val="24"/>
        </w:rPr>
        <w:t xml:space="preserve">, </w:t>
      </w:r>
      <w:r w:rsidR="005D0321" w:rsidRPr="008B39E1">
        <w:rPr>
          <w:rFonts w:ascii="Times New Roman" w:hAnsi="Times New Roman" w:cs="Times New Roman"/>
          <w:sz w:val="24"/>
          <w:szCs w:val="24"/>
        </w:rPr>
        <w:t xml:space="preserve">which suggests that </w:t>
      </w:r>
      <w:r w:rsidR="006D09C9" w:rsidRPr="008B39E1">
        <w:rPr>
          <w:rFonts w:ascii="Times New Roman" w:hAnsi="Times New Roman" w:cs="Times New Roman"/>
          <w:sz w:val="24"/>
          <w:szCs w:val="24"/>
        </w:rPr>
        <w:t>both</w:t>
      </w:r>
      <w:r w:rsidR="004645D0" w:rsidRPr="008B39E1">
        <w:rPr>
          <w:rFonts w:ascii="Times New Roman" w:hAnsi="Times New Roman" w:cs="Times New Roman"/>
          <w:sz w:val="24"/>
          <w:szCs w:val="24"/>
        </w:rPr>
        <w:t xml:space="preserve"> </w:t>
      </w:r>
      <w:r w:rsidR="005D0321" w:rsidRPr="008B39E1">
        <w:rPr>
          <w:rFonts w:ascii="Times New Roman" w:hAnsi="Times New Roman" w:cs="Times New Roman"/>
          <w:sz w:val="24"/>
          <w:szCs w:val="24"/>
        </w:rPr>
        <w:t xml:space="preserve">changes in norms and network social capital contribute to </w:t>
      </w:r>
      <w:r w:rsidR="00720E04" w:rsidRPr="008B39E1">
        <w:rPr>
          <w:rFonts w:ascii="Times New Roman" w:hAnsi="Times New Roman" w:cs="Times New Roman"/>
          <w:sz w:val="24"/>
          <w:szCs w:val="24"/>
        </w:rPr>
        <w:t xml:space="preserve">internal control ineffectiveness for relocation firms, </w:t>
      </w:r>
      <w:r w:rsidR="006D09C9" w:rsidRPr="008B39E1">
        <w:rPr>
          <w:rFonts w:ascii="Times New Roman" w:hAnsi="Times New Roman" w:cs="Times New Roman"/>
          <w:sz w:val="24"/>
          <w:szCs w:val="24"/>
        </w:rPr>
        <w:t xml:space="preserve">and </w:t>
      </w:r>
      <w:r w:rsidR="00720E04" w:rsidRPr="008B39E1">
        <w:rPr>
          <w:rFonts w:ascii="Times New Roman" w:hAnsi="Times New Roman" w:cs="Times New Roman"/>
          <w:sz w:val="24"/>
          <w:szCs w:val="24"/>
        </w:rPr>
        <w:t>neither change dominates the effec</w:t>
      </w:r>
      <w:r w:rsidR="004D7A44" w:rsidRPr="008B39E1">
        <w:rPr>
          <w:rFonts w:ascii="Times New Roman" w:hAnsi="Times New Roman" w:cs="Times New Roman"/>
          <w:sz w:val="24"/>
          <w:szCs w:val="24"/>
        </w:rPr>
        <w:t>t.</w:t>
      </w:r>
      <w:r w:rsidR="00C866C8" w:rsidRPr="008B39E1">
        <w:rPr>
          <w:rFonts w:ascii="Times New Roman" w:hAnsi="Times New Roman" w:cs="Times New Roman"/>
          <w:i/>
          <w:iCs/>
          <w:sz w:val="24"/>
          <w:szCs w:val="24"/>
        </w:rPr>
        <w:t xml:space="preserve"> </w:t>
      </w:r>
    </w:p>
    <w:p w14:paraId="4A3B30DE" w14:textId="4380D2BA" w:rsidR="00341EB7" w:rsidRPr="008B39E1" w:rsidRDefault="007C1C86" w:rsidP="00981B19">
      <w:pPr>
        <w:spacing w:after="0" w:line="480" w:lineRule="auto"/>
        <w:rPr>
          <w:rFonts w:ascii="Times New Roman" w:hAnsi="Times New Roman" w:cs="Times New Roman"/>
          <w:sz w:val="24"/>
          <w:szCs w:val="24"/>
        </w:rPr>
      </w:pPr>
      <w:r w:rsidRPr="008B39E1">
        <w:rPr>
          <w:rFonts w:ascii="Times New Roman" w:hAnsi="Times New Roman" w:cs="Times New Roman"/>
          <w:b/>
          <w:bCs/>
          <w:sz w:val="24"/>
          <w:szCs w:val="24"/>
        </w:rPr>
        <w:lastRenderedPageBreak/>
        <w:t>RQ3 Results</w:t>
      </w:r>
    </w:p>
    <w:p w14:paraId="728CD199" w14:textId="60B5435E" w:rsidR="004247AE" w:rsidRPr="008B39E1" w:rsidRDefault="00566F76" w:rsidP="00981B19">
      <w:pPr>
        <w:spacing w:after="0" w:line="480" w:lineRule="auto"/>
        <w:rPr>
          <w:rFonts w:ascii="Times New Roman" w:eastAsia="Times New Roman" w:hAnsi="Times New Roman" w:cs="Times New Roman"/>
          <w:color w:val="000000"/>
          <w:sz w:val="24"/>
          <w:szCs w:val="24"/>
        </w:rPr>
      </w:pPr>
      <w:r w:rsidRPr="008B39E1">
        <w:rPr>
          <w:rFonts w:ascii="Times New Roman" w:eastAsiaTheme="minorEastAsia" w:hAnsi="Times New Roman" w:cs="Times New Roman"/>
          <w:sz w:val="24"/>
          <w:szCs w:val="24"/>
        </w:rPr>
        <w:tab/>
      </w:r>
      <w:r w:rsidR="00DC55B9" w:rsidRPr="008B39E1">
        <w:rPr>
          <w:rFonts w:ascii="Times New Roman" w:eastAsiaTheme="minorEastAsia" w:hAnsi="Times New Roman" w:cs="Times New Roman"/>
          <w:sz w:val="24"/>
          <w:szCs w:val="24"/>
        </w:rPr>
        <w:t>Table V</w:t>
      </w:r>
      <w:r w:rsidR="00612EF0" w:rsidRPr="008B39E1">
        <w:rPr>
          <w:rFonts w:ascii="Times New Roman" w:eastAsiaTheme="minorEastAsia" w:hAnsi="Times New Roman" w:cs="Times New Roman"/>
          <w:sz w:val="24"/>
          <w:szCs w:val="24"/>
        </w:rPr>
        <w:t xml:space="preserve">, Panel </w:t>
      </w:r>
      <w:r w:rsidR="00463878" w:rsidRPr="008B39E1">
        <w:rPr>
          <w:rFonts w:ascii="Times New Roman" w:eastAsiaTheme="minorEastAsia" w:hAnsi="Times New Roman" w:cs="Times New Roman"/>
          <w:sz w:val="24"/>
          <w:szCs w:val="24"/>
        </w:rPr>
        <w:t>A</w:t>
      </w:r>
      <w:r w:rsidR="008B79C8" w:rsidRPr="008B39E1">
        <w:rPr>
          <w:rFonts w:ascii="Times New Roman" w:eastAsiaTheme="minorEastAsia" w:hAnsi="Times New Roman" w:cs="Times New Roman"/>
          <w:sz w:val="24"/>
          <w:szCs w:val="24"/>
        </w:rPr>
        <w:t>,</w:t>
      </w:r>
      <w:r w:rsidR="00612EF0" w:rsidRPr="008B39E1">
        <w:rPr>
          <w:rFonts w:ascii="Times New Roman" w:eastAsiaTheme="minorEastAsia" w:hAnsi="Times New Roman" w:cs="Times New Roman"/>
          <w:sz w:val="24"/>
          <w:szCs w:val="24"/>
        </w:rPr>
        <w:t xml:space="preserve"> </w:t>
      </w:r>
      <w:r w:rsidR="00463878" w:rsidRPr="008B39E1">
        <w:rPr>
          <w:rFonts w:ascii="Times New Roman" w:hAnsi="Times New Roman" w:cs="Times New Roman"/>
          <w:sz w:val="24"/>
          <w:szCs w:val="24"/>
        </w:rPr>
        <w:t>presents our results with</w:t>
      </w:r>
      <w:r w:rsidR="00942079" w:rsidRPr="008B39E1">
        <w:rPr>
          <w:rFonts w:ascii="Times New Roman" w:hAnsi="Times New Roman" w:cs="Times New Roman"/>
          <w:sz w:val="24"/>
          <w:szCs w:val="24"/>
        </w:rPr>
        <w:t xml:space="preserve"> </w:t>
      </w:r>
      <w:r w:rsidR="003E2AC6" w:rsidRPr="008B39E1">
        <w:rPr>
          <w:rFonts w:ascii="Times New Roman" w:hAnsi="Times New Roman" w:cs="Times New Roman"/>
          <w:sz w:val="24"/>
          <w:szCs w:val="24"/>
        </w:rPr>
        <w:t xml:space="preserve">procedural </w:t>
      </w:r>
      <w:r w:rsidR="00942079" w:rsidRPr="008B39E1">
        <w:rPr>
          <w:rFonts w:ascii="Times New Roman" w:hAnsi="Times New Roman" w:cs="Times New Roman"/>
          <w:sz w:val="24"/>
          <w:szCs w:val="24"/>
        </w:rPr>
        <w:t xml:space="preserve">internal control </w:t>
      </w:r>
      <w:r w:rsidR="00B23672" w:rsidRPr="008B39E1">
        <w:rPr>
          <w:rFonts w:ascii="Times New Roman" w:hAnsi="Times New Roman" w:cs="Times New Roman"/>
          <w:sz w:val="24"/>
          <w:szCs w:val="24"/>
        </w:rPr>
        <w:t>ineffectiveness (</w:t>
      </w:r>
      <w:proofErr w:type="spellStart"/>
      <w:r w:rsidR="003E2AC6" w:rsidRPr="008B39E1">
        <w:rPr>
          <w:rFonts w:ascii="Times New Roman" w:eastAsia="Times New Roman" w:hAnsi="Times New Roman" w:cs="Times New Roman"/>
          <w:i/>
          <w:iCs/>
          <w:color w:val="000000"/>
          <w:sz w:val="24"/>
          <w:szCs w:val="24"/>
        </w:rPr>
        <w:t>PROC</w:t>
      </w:r>
      <w:r w:rsidR="00B23672" w:rsidRPr="008B39E1">
        <w:rPr>
          <w:rFonts w:ascii="Times New Roman" w:eastAsia="Times New Roman" w:hAnsi="Times New Roman" w:cs="Times New Roman"/>
          <w:i/>
          <w:iCs/>
          <w:color w:val="000000"/>
          <w:sz w:val="24"/>
          <w:szCs w:val="24"/>
        </w:rPr>
        <w:t>_ICINEFF</w:t>
      </w:r>
      <w:proofErr w:type="spellEnd"/>
      <w:r w:rsidR="00B23672" w:rsidRPr="008B39E1">
        <w:rPr>
          <w:rFonts w:ascii="Times New Roman" w:eastAsia="Times New Roman" w:hAnsi="Times New Roman" w:cs="Times New Roman"/>
          <w:i/>
          <w:iCs/>
          <w:color w:val="000000"/>
          <w:sz w:val="24"/>
          <w:szCs w:val="24"/>
        </w:rPr>
        <w:t xml:space="preserve">) </w:t>
      </w:r>
      <w:r w:rsidR="00B23672" w:rsidRPr="008B39E1">
        <w:rPr>
          <w:rFonts w:ascii="Times New Roman" w:eastAsia="Times New Roman" w:hAnsi="Times New Roman" w:cs="Times New Roman"/>
          <w:color w:val="000000"/>
          <w:sz w:val="24"/>
          <w:szCs w:val="24"/>
        </w:rPr>
        <w:t>as the dependent variable</w:t>
      </w:r>
      <w:r w:rsidR="00463878" w:rsidRPr="008B39E1">
        <w:rPr>
          <w:rFonts w:ascii="Times New Roman" w:eastAsia="Times New Roman" w:hAnsi="Times New Roman" w:cs="Times New Roman"/>
          <w:color w:val="000000"/>
          <w:sz w:val="24"/>
          <w:szCs w:val="24"/>
        </w:rPr>
        <w:t>.</w:t>
      </w:r>
      <w:r w:rsidR="00936F42" w:rsidRPr="008B39E1">
        <w:rPr>
          <w:rFonts w:ascii="Times New Roman" w:eastAsia="Times New Roman" w:hAnsi="Times New Roman" w:cs="Times New Roman"/>
          <w:color w:val="000000"/>
          <w:sz w:val="24"/>
          <w:szCs w:val="24"/>
        </w:rPr>
        <w:t xml:space="preserve"> We find that changes in social capital </w:t>
      </w:r>
      <w:r w:rsidR="00BD4CA3" w:rsidRPr="008B39E1">
        <w:rPr>
          <w:rFonts w:ascii="Times New Roman" w:eastAsia="Times New Roman" w:hAnsi="Times New Roman" w:cs="Times New Roman"/>
          <w:color w:val="000000"/>
          <w:sz w:val="24"/>
          <w:szCs w:val="24"/>
        </w:rPr>
        <w:t xml:space="preserve">due to relocation </w:t>
      </w:r>
      <w:r w:rsidR="005607A7" w:rsidRPr="008B39E1">
        <w:rPr>
          <w:rFonts w:ascii="Times New Roman" w:eastAsia="Times New Roman" w:hAnsi="Times New Roman" w:cs="Times New Roman"/>
          <w:color w:val="000000"/>
          <w:sz w:val="24"/>
          <w:szCs w:val="24"/>
        </w:rPr>
        <w:t>are</w:t>
      </w:r>
      <w:r w:rsidR="000B67E9" w:rsidRPr="008B39E1">
        <w:rPr>
          <w:rFonts w:ascii="Times New Roman" w:eastAsia="Times New Roman" w:hAnsi="Times New Roman" w:cs="Times New Roman"/>
          <w:color w:val="000000"/>
          <w:sz w:val="24"/>
          <w:szCs w:val="24"/>
        </w:rPr>
        <w:t xml:space="preserve"> associated with</w:t>
      </w:r>
      <w:r w:rsidR="00BD4CA3" w:rsidRPr="008B39E1">
        <w:rPr>
          <w:rFonts w:ascii="Times New Roman" w:eastAsia="Times New Roman" w:hAnsi="Times New Roman" w:cs="Times New Roman"/>
          <w:color w:val="000000"/>
          <w:sz w:val="24"/>
          <w:szCs w:val="24"/>
        </w:rPr>
        <w:t xml:space="preserve"> </w:t>
      </w:r>
      <w:r w:rsidR="005607A7" w:rsidRPr="008B39E1">
        <w:rPr>
          <w:rFonts w:ascii="Times New Roman" w:eastAsia="Times New Roman" w:hAnsi="Times New Roman" w:cs="Times New Roman"/>
          <w:color w:val="000000"/>
          <w:sz w:val="24"/>
          <w:szCs w:val="24"/>
        </w:rPr>
        <w:t>procedural</w:t>
      </w:r>
      <w:r w:rsidR="000B67E9" w:rsidRPr="008B39E1">
        <w:rPr>
          <w:rFonts w:ascii="Times New Roman" w:eastAsia="Times New Roman" w:hAnsi="Times New Roman" w:cs="Times New Roman"/>
          <w:color w:val="000000"/>
          <w:sz w:val="24"/>
          <w:szCs w:val="24"/>
        </w:rPr>
        <w:t xml:space="preserve"> type internal</w:t>
      </w:r>
      <w:r w:rsidR="00BD4CA3" w:rsidRPr="008B39E1">
        <w:rPr>
          <w:rFonts w:ascii="Times New Roman" w:eastAsia="Times New Roman" w:hAnsi="Times New Roman" w:cs="Times New Roman"/>
          <w:color w:val="000000"/>
          <w:sz w:val="24"/>
          <w:szCs w:val="24"/>
        </w:rPr>
        <w:t xml:space="preserve"> control ineffectiveness</w:t>
      </w:r>
      <w:r w:rsidR="00786ED6" w:rsidRPr="008B39E1">
        <w:rPr>
          <w:rFonts w:ascii="Times New Roman" w:eastAsia="Times New Roman" w:hAnsi="Times New Roman" w:cs="Times New Roman"/>
          <w:color w:val="000000"/>
          <w:sz w:val="24"/>
          <w:szCs w:val="24"/>
        </w:rPr>
        <w:t xml:space="preserve"> as evidenced by the positive and significant coefficients for </w:t>
      </w:r>
      <w:proofErr w:type="spellStart"/>
      <w:r w:rsidR="00786ED6" w:rsidRPr="008B39E1">
        <w:rPr>
          <w:rFonts w:ascii="Times New Roman" w:eastAsia="Times New Roman" w:hAnsi="Times New Roman" w:cs="Times New Roman"/>
          <w:i/>
          <w:iCs/>
          <w:color w:val="000000"/>
          <w:sz w:val="24"/>
          <w:szCs w:val="24"/>
        </w:rPr>
        <w:t>POSTx</w:t>
      </w:r>
      <w:r w:rsidR="00D147A1" w:rsidRPr="008B39E1">
        <w:rPr>
          <w:rFonts w:ascii="Times New Roman" w:eastAsia="Times New Roman" w:hAnsi="Times New Roman" w:cs="Times New Roman"/>
          <w:i/>
          <w:iCs/>
          <w:color w:val="000000"/>
          <w:sz w:val="24"/>
          <w:szCs w:val="24"/>
        </w:rPr>
        <w:t>RELOCATE</w:t>
      </w:r>
      <w:r w:rsidR="00786ED6" w:rsidRPr="008B39E1">
        <w:rPr>
          <w:rFonts w:ascii="Times New Roman" w:eastAsia="Times New Roman" w:hAnsi="Times New Roman" w:cs="Times New Roman"/>
          <w:i/>
          <w:iCs/>
          <w:color w:val="000000"/>
          <w:sz w:val="24"/>
          <w:szCs w:val="24"/>
        </w:rPr>
        <w:t>x</w:t>
      </w:r>
      <w:r w:rsidR="005D77B0" w:rsidRPr="008B39E1">
        <w:rPr>
          <w:rFonts w:ascii="Times New Roman" w:eastAsia="Times New Roman" w:hAnsi="Times New Roman" w:cs="Times New Roman"/>
          <w:i/>
          <w:iCs/>
          <w:color w:val="000000"/>
          <w:sz w:val="24"/>
          <w:szCs w:val="24"/>
        </w:rPr>
        <w:t>CH</w:t>
      </w:r>
      <w:r w:rsidR="00786ED6" w:rsidRPr="008B39E1">
        <w:rPr>
          <w:rFonts w:ascii="Times New Roman" w:eastAsia="Times New Roman" w:hAnsi="Times New Roman" w:cs="Times New Roman"/>
          <w:i/>
          <w:iCs/>
          <w:color w:val="000000"/>
          <w:sz w:val="24"/>
          <w:szCs w:val="24"/>
        </w:rPr>
        <w:t>SC</w:t>
      </w:r>
      <w:proofErr w:type="spellEnd"/>
      <w:r w:rsidR="00786ED6" w:rsidRPr="008B39E1">
        <w:rPr>
          <w:rFonts w:ascii="Times New Roman" w:eastAsia="Times New Roman" w:hAnsi="Times New Roman" w:cs="Times New Roman"/>
          <w:color w:val="000000"/>
          <w:sz w:val="24"/>
          <w:szCs w:val="24"/>
        </w:rPr>
        <w:t xml:space="preserve"> and </w:t>
      </w:r>
      <w:proofErr w:type="spellStart"/>
      <w:r w:rsidR="00786ED6" w:rsidRPr="008B39E1">
        <w:rPr>
          <w:rFonts w:ascii="Times New Roman" w:eastAsia="Times New Roman" w:hAnsi="Times New Roman" w:cs="Times New Roman"/>
          <w:i/>
          <w:iCs/>
          <w:color w:val="000000"/>
          <w:sz w:val="24"/>
          <w:szCs w:val="24"/>
        </w:rPr>
        <w:t>POSTx</w:t>
      </w:r>
      <w:r w:rsidR="00D147A1" w:rsidRPr="008B39E1">
        <w:rPr>
          <w:rFonts w:ascii="Times New Roman" w:eastAsia="Times New Roman" w:hAnsi="Times New Roman" w:cs="Times New Roman"/>
          <w:i/>
          <w:iCs/>
          <w:color w:val="000000"/>
          <w:sz w:val="24"/>
          <w:szCs w:val="24"/>
        </w:rPr>
        <w:t>RELOCATE</w:t>
      </w:r>
      <w:r w:rsidR="00786ED6" w:rsidRPr="008B39E1">
        <w:rPr>
          <w:rFonts w:ascii="Times New Roman" w:eastAsia="Times New Roman" w:hAnsi="Times New Roman" w:cs="Times New Roman"/>
          <w:i/>
          <w:iCs/>
          <w:color w:val="000000"/>
          <w:sz w:val="24"/>
          <w:szCs w:val="24"/>
        </w:rPr>
        <w:t>x</w:t>
      </w:r>
      <w:r w:rsidR="00EE4AEB" w:rsidRPr="008B39E1">
        <w:rPr>
          <w:rFonts w:ascii="Times New Roman" w:eastAsia="Times New Roman" w:hAnsi="Times New Roman" w:cs="Times New Roman"/>
          <w:i/>
          <w:iCs/>
          <w:color w:val="000000"/>
          <w:sz w:val="24"/>
          <w:szCs w:val="24"/>
        </w:rPr>
        <w:t>C</w:t>
      </w:r>
      <w:r w:rsidR="005D77B0" w:rsidRPr="008B39E1">
        <w:rPr>
          <w:rFonts w:ascii="Times New Roman" w:eastAsia="Times New Roman" w:hAnsi="Times New Roman" w:cs="Times New Roman"/>
          <w:i/>
          <w:iCs/>
          <w:color w:val="000000"/>
          <w:sz w:val="24"/>
          <w:szCs w:val="24"/>
        </w:rPr>
        <w:t>H</w:t>
      </w:r>
      <w:r w:rsidR="00EE4AEB" w:rsidRPr="008B39E1">
        <w:rPr>
          <w:rFonts w:ascii="Times New Roman" w:eastAsia="Times New Roman" w:hAnsi="Times New Roman" w:cs="Times New Roman"/>
          <w:i/>
          <w:iCs/>
          <w:color w:val="000000"/>
          <w:sz w:val="24"/>
          <w:szCs w:val="24"/>
        </w:rPr>
        <w:t>SCraw</w:t>
      </w:r>
      <w:proofErr w:type="spellEnd"/>
      <w:r w:rsidR="0034005C" w:rsidRPr="008B39E1">
        <w:rPr>
          <w:rFonts w:ascii="Times New Roman" w:eastAsia="Times New Roman" w:hAnsi="Times New Roman" w:cs="Times New Roman"/>
          <w:i/>
          <w:iCs/>
          <w:color w:val="000000"/>
          <w:sz w:val="24"/>
          <w:szCs w:val="24"/>
        </w:rPr>
        <w:t xml:space="preserve"> </w:t>
      </w:r>
      <w:r w:rsidR="00EE4AEB" w:rsidRPr="008B39E1">
        <w:rPr>
          <w:rFonts w:ascii="Times New Roman" w:eastAsia="Times New Roman" w:hAnsi="Times New Roman" w:cs="Times New Roman"/>
          <w:color w:val="000000"/>
          <w:sz w:val="24"/>
          <w:szCs w:val="24"/>
        </w:rPr>
        <w:t xml:space="preserve">in Columns (1) and (2), respectively. </w:t>
      </w:r>
      <w:r w:rsidR="00084848" w:rsidRPr="008B39E1">
        <w:rPr>
          <w:rFonts w:ascii="Times New Roman" w:eastAsia="Times New Roman" w:hAnsi="Times New Roman" w:cs="Times New Roman"/>
          <w:color w:val="000000"/>
          <w:sz w:val="24"/>
          <w:szCs w:val="24"/>
        </w:rPr>
        <w:t xml:space="preserve">We find some evidence that changes in social capital norms and networks are also associated with </w:t>
      </w:r>
      <w:r w:rsidR="00266BC0" w:rsidRPr="008B39E1">
        <w:rPr>
          <w:rFonts w:ascii="Times New Roman" w:eastAsia="Times New Roman" w:hAnsi="Times New Roman" w:cs="Times New Roman"/>
          <w:color w:val="000000"/>
          <w:sz w:val="24"/>
          <w:szCs w:val="24"/>
        </w:rPr>
        <w:t>procedural</w:t>
      </w:r>
      <w:r w:rsidR="00A42EB3" w:rsidRPr="008B39E1">
        <w:rPr>
          <w:rFonts w:ascii="Times New Roman" w:eastAsia="Times New Roman" w:hAnsi="Times New Roman" w:cs="Times New Roman"/>
          <w:color w:val="000000"/>
          <w:sz w:val="24"/>
          <w:szCs w:val="24"/>
        </w:rPr>
        <w:t xml:space="preserve"> type</w:t>
      </w:r>
      <w:r w:rsidR="00084848" w:rsidRPr="008B39E1">
        <w:rPr>
          <w:rFonts w:ascii="Times New Roman" w:eastAsia="Times New Roman" w:hAnsi="Times New Roman" w:cs="Times New Roman"/>
          <w:color w:val="000000"/>
          <w:sz w:val="24"/>
          <w:szCs w:val="24"/>
        </w:rPr>
        <w:t xml:space="preserve"> internal control ineffectiveness</w:t>
      </w:r>
      <w:r w:rsidR="00B73685" w:rsidRPr="008B39E1">
        <w:rPr>
          <w:rFonts w:ascii="Times New Roman" w:eastAsia="Times New Roman" w:hAnsi="Times New Roman" w:cs="Times New Roman"/>
          <w:color w:val="000000"/>
          <w:sz w:val="24"/>
          <w:szCs w:val="24"/>
        </w:rPr>
        <w:t>; only one of the two interactions for norms and networks is significant</w:t>
      </w:r>
      <w:r w:rsidR="00084848" w:rsidRPr="008B39E1">
        <w:rPr>
          <w:rFonts w:ascii="Times New Roman" w:eastAsia="Times New Roman" w:hAnsi="Times New Roman" w:cs="Times New Roman"/>
          <w:color w:val="000000"/>
          <w:sz w:val="24"/>
          <w:szCs w:val="24"/>
        </w:rPr>
        <w:t xml:space="preserve">. </w:t>
      </w:r>
    </w:p>
    <w:p w14:paraId="485EB64F" w14:textId="5BBF7E51" w:rsidR="006D09C9" w:rsidRPr="008B39E1" w:rsidRDefault="00070CCE" w:rsidP="00981B19">
      <w:pPr>
        <w:spacing w:after="0" w:line="480" w:lineRule="auto"/>
        <w:ind w:firstLine="720"/>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In </w:t>
      </w:r>
      <w:r w:rsidR="00693FBE" w:rsidRPr="008B39E1">
        <w:rPr>
          <w:rFonts w:ascii="Times New Roman" w:eastAsia="Times New Roman" w:hAnsi="Times New Roman" w:cs="Times New Roman"/>
          <w:color w:val="000000"/>
          <w:sz w:val="24"/>
          <w:szCs w:val="24"/>
        </w:rPr>
        <w:t xml:space="preserve">Table V </w:t>
      </w:r>
      <w:r w:rsidRPr="008B39E1">
        <w:rPr>
          <w:rFonts w:ascii="Times New Roman" w:eastAsia="Times New Roman" w:hAnsi="Times New Roman" w:cs="Times New Roman"/>
          <w:color w:val="000000"/>
          <w:sz w:val="24"/>
          <w:szCs w:val="24"/>
        </w:rPr>
        <w:t>Panel B, we show the results with</w:t>
      </w:r>
      <w:r w:rsidR="000636A9" w:rsidRPr="008B39E1">
        <w:rPr>
          <w:rFonts w:ascii="Times New Roman" w:eastAsia="Times New Roman" w:hAnsi="Times New Roman" w:cs="Times New Roman"/>
          <w:color w:val="000000"/>
          <w:sz w:val="24"/>
          <w:szCs w:val="24"/>
        </w:rPr>
        <w:t xml:space="preserve"> </w:t>
      </w:r>
      <w:r w:rsidR="00693FBE" w:rsidRPr="008B39E1">
        <w:rPr>
          <w:rFonts w:ascii="Times New Roman" w:eastAsia="Times New Roman" w:hAnsi="Times New Roman" w:cs="Times New Roman"/>
          <w:color w:val="000000"/>
          <w:sz w:val="24"/>
          <w:szCs w:val="24"/>
        </w:rPr>
        <w:t xml:space="preserve">non-procedural, </w:t>
      </w:r>
      <w:r w:rsidR="000636A9" w:rsidRPr="008B39E1">
        <w:rPr>
          <w:rFonts w:ascii="Times New Roman" w:eastAsia="Times New Roman" w:hAnsi="Times New Roman" w:cs="Times New Roman"/>
          <w:color w:val="000000"/>
          <w:sz w:val="24"/>
          <w:szCs w:val="24"/>
        </w:rPr>
        <w:t xml:space="preserve">employee-experience dependent, </w:t>
      </w:r>
      <w:r w:rsidR="0081270A" w:rsidRPr="008B39E1">
        <w:rPr>
          <w:rFonts w:ascii="Times New Roman" w:eastAsia="Times New Roman" w:hAnsi="Times New Roman" w:cs="Times New Roman"/>
          <w:color w:val="000000"/>
          <w:sz w:val="24"/>
          <w:szCs w:val="24"/>
        </w:rPr>
        <w:t xml:space="preserve">internal control ineffectiveness </w:t>
      </w:r>
      <w:r w:rsidR="00ED1C54" w:rsidRPr="008B39E1">
        <w:rPr>
          <w:rFonts w:ascii="Times New Roman" w:eastAsia="Times New Roman" w:hAnsi="Times New Roman" w:cs="Times New Roman"/>
          <w:color w:val="000000"/>
          <w:sz w:val="24"/>
          <w:szCs w:val="24"/>
        </w:rPr>
        <w:t>(</w:t>
      </w:r>
      <w:proofErr w:type="spellStart"/>
      <w:r w:rsidR="00ED1C54" w:rsidRPr="008B39E1">
        <w:rPr>
          <w:rFonts w:ascii="Times New Roman" w:eastAsia="Times New Roman" w:hAnsi="Times New Roman" w:cs="Times New Roman"/>
          <w:i/>
          <w:iCs/>
          <w:color w:val="000000"/>
          <w:sz w:val="24"/>
          <w:szCs w:val="24"/>
        </w:rPr>
        <w:t>NON</w:t>
      </w:r>
      <w:r w:rsidR="004419BE" w:rsidRPr="008B39E1">
        <w:rPr>
          <w:rFonts w:ascii="Times New Roman" w:eastAsia="Times New Roman" w:hAnsi="Times New Roman" w:cs="Times New Roman"/>
          <w:i/>
          <w:iCs/>
          <w:color w:val="000000"/>
          <w:sz w:val="24"/>
          <w:szCs w:val="24"/>
        </w:rPr>
        <w:t>PROC</w:t>
      </w:r>
      <w:r w:rsidR="0081270A" w:rsidRPr="008B39E1">
        <w:rPr>
          <w:rFonts w:ascii="Times New Roman" w:eastAsia="Times New Roman" w:hAnsi="Times New Roman" w:cs="Times New Roman"/>
          <w:i/>
          <w:iCs/>
          <w:color w:val="000000"/>
          <w:sz w:val="24"/>
          <w:szCs w:val="24"/>
        </w:rPr>
        <w:t>_INCINEFF</w:t>
      </w:r>
      <w:proofErr w:type="spellEnd"/>
      <w:r w:rsidR="0081270A" w:rsidRPr="008B39E1">
        <w:rPr>
          <w:rFonts w:ascii="Times New Roman" w:eastAsia="Times New Roman" w:hAnsi="Times New Roman" w:cs="Times New Roman"/>
          <w:color w:val="000000"/>
          <w:sz w:val="24"/>
          <w:szCs w:val="24"/>
        </w:rPr>
        <w:t xml:space="preserve">) as the dependent variable. </w:t>
      </w:r>
      <w:r w:rsidR="00501D6E" w:rsidRPr="008B39E1">
        <w:rPr>
          <w:rFonts w:ascii="Times New Roman" w:eastAsia="Times New Roman" w:hAnsi="Times New Roman" w:cs="Times New Roman"/>
          <w:color w:val="000000"/>
          <w:sz w:val="24"/>
          <w:szCs w:val="24"/>
        </w:rPr>
        <w:t xml:space="preserve">The results for the </w:t>
      </w:r>
      <w:proofErr w:type="spellStart"/>
      <w:r w:rsidR="00501D6E" w:rsidRPr="008B39E1">
        <w:rPr>
          <w:rFonts w:ascii="Times New Roman" w:eastAsia="Times New Roman" w:hAnsi="Times New Roman" w:cs="Times New Roman"/>
          <w:i/>
          <w:iCs/>
          <w:color w:val="000000"/>
          <w:sz w:val="24"/>
          <w:szCs w:val="24"/>
        </w:rPr>
        <w:t>RELOCATExPOST</w:t>
      </w:r>
      <w:proofErr w:type="spellEnd"/>
      <w:r w:rsidR="00501D6E" w:rsidRPr="008B39E1">
        <w:rPr>
          <w:rFonts w:ascii="Times New Roman" w:eastAsia="Times New Roman" w:hAnsi="Times New Roman" w:cs="Times New Roman"/>
          <w:color w:val="000000"/>
          <w:sz w:val="24"/>
          <w:szCs w:val="24"/>
        </w:rPr>
        <w:t xml:space="preserve"> interactions are generally stronger than those </w:t>
      </w:r>
      <w:proofErr w:type="gramStart"/>
      <w:r w:rsidR="00501D6E" w:rsidRPr="008B39E1">
        <w:rPr>
          <w:rFonts w:ascii="Times New Roman" w:eastAsia="Times New Roman" w:hAnsi="Times New Roman" w:cs="Times New Roman"/>
          <w:color w:val="000000"/>
          <w:sz w:val="24"/>
          <w:szCs w:val="24"/>
        </w:rPr>
        <w:t>in</w:t>
      </w:r>
      <w:proofErr w:type="gramEnd"/>
      <w:r w:rsidR="00501D6E" w:rsidRPr="008B39E1">
        <w:rPr>
          <w:rFonts w:ascii="Times New Roman" w:eastAsia="Times New Roman" w:hAnsi="Times New Roman" w:cs="Times New Roman"/>
          <w:color w:val="000000"/>
          <w:sz w:val="24"/>
          <w:szCs w:val="24"/>
        </w:rPr>
        <w:t xml:space="preserve"> Panel A. </w:t>
      </w:r>
      <w:r w:rsidR="00356B2A" w:rsidRPr="008B39E1">
        <w:rPr>
          <w:rFonts w:ascii="Times New Roman" w:eastAsia="Times New Roman" w:hAnsi="Times New Roman" w:cs="Times New Roman"/>
          <w:color w:val="000000"/>
          <w:sz w:val="24"/>
          <w:szCs w:val="24"/>
        </w:rPr>
        <w:t xml:space="preserve">We find positive and significant </w:t>
      </w:r>
      <w:r w:rsidR="00AC742E" w:rsidRPr="008B39E1">
        <w:rPr>
          <w:rFonts w:ascii="Times New Roman" w:eastAsia="Times New Roman" w:hAnsi="Times New Roman" w:cs="Times New Roman"/>
          <w:color w:val="000000"/>
          <w:sz w:val="24"/>
          <w:szCs w:val="24"/>
        </w:rPr>
        <w:t>coefficients</w:t>
      </w:r>
      <w:r w:rsidR="00356B2A" w:rsidRPr="008B39E1">
        <w:rPr>
          <w:rFonts w:ascii="Times New Roman" w:eastAsia="Times New Roman" w:hAnsi="Times New Roman" w:cs="Times New Roman"/>
          <w:color w:val="000000"/>
          <w:sz w:val="24"/>
          <w:szCs w:val="24"/>
        </w:rPr>
        <w:t xml:space="preserve"> </w:t>
      </w:r>
      <w:r w:rsidR="00501D6E" w:rsidRPr="008B39E1">
        <w:rPr>
          <w:rFonts w:ascii="Times New Roman" w:eastAsia="Times New Roman" w:hAnsi="Times New Roman" w:cs="Times New Roman"/>
          <w:color w:val="000000"/>
          <w:sz w:val="24"/>
          <w:szCs w:val="24"/>
        </w:rPr>
        <w:t xml:space="preserve">for interactions </w:t>
      </w:r>
      <w:r w:rsidR="00356B2A" w:rsidRPr="008B39E1">
        <w:rPr>
          <w:rFonts w:ascii="Times New Roman" w:eastAsia="Times New Roman" w:hAnsi="Times New Roman" w:cs="Times New Roman"/>
          <w:color w:val="000000"/>
          <w:sz w:val="24"/>
          <w:szCs w:val="24"/>
        </w:rPr>
        <w:t xml:space="preserve">with </w:t>
      </w:r>
      <w:r w:rsidR="00693FBE" w:rsidRPr="008B39E1">
        <w:rPr>
          <w:rFonts w:ascii="Times New Roman" w:eastAsia="Times New Roman" w:hAnsi="Times New Roman" w:cs="Times New Roman"/>
          <w:color w:val="000000"/>
          <w:sz w:val="24"/>
          <w:szCs w:val="24"/>
        </w:rPr>
        <w:t xml:space="preserve">change in </w:t>
      </w:r>
      <w:r w:rsidR="00356B2A" w:rsidRPr="008B39E1">
        <w:rPr>
          <w:rFonts w:ascii="Times New Roman" w:eastAsia="Times New Roman" w:hAnsi="Times New Roman" w:cs="Times New Roman"/>
          <w:color w:val="000000"/>
          <w:sz w:val="24"/>
          <w:szCs w:val="24"/>
        </w:rPr>
        <w:t>social capital</w:t>
      </w:r>
      <w:r w:rsidR="00693FBE" w:rsidRPr="008B39E1">
        <w:rPr>
          <w:rFonts w:ascii="Times New Roman" w:eastAsia="Times New Roman" w:hAnsi="Times New Roman" w:cs="Times New Roman"/>
          <w:color w:val="000000"/>
          <w:sz w:val="24"/>
          <w:szCs w:val="24"/>
        </w:rPr>
        <w:t xml:space="preserve"> (columns 1-2)</w:t>
      </w:r>
      <w:r w:rsidR="00FC4BEA" w:rsidRPr="008B39E1">
        <w:rPr>
          <w:rFonts w:ascii="Times New Roman" w:eastAsia="Times New Roman" w:hAnsi="Times New Roman" w:cs="Times New Roman"/>
          <w:color w:val="000000"/>
          <w:sz w:val="24"/>
          <w:szCs w:val="24"/>
        </w:rPr>
        <w:t xml:space="preserve">, </w:t>
      </w:r>
      <w:r w:rsidR="00693FBE" w:rsidRPr="008B39E1">
        <w:rPr>
          <w:rFonts w:ascii="Times New Roman" w:eastAsia="Times New Roman" w:hAnsi="Times New Roman" w:cs="Times New Roman"/>
          <w:color w:val="000000"/>
          <w:sz w:val="24"/>
          <w:szCs w:val="24"/>
        </w:rPr>
        <w:t xml:space="preserve">change in </w:t>
      </w:r>
      <w:r w:rsidR="00501D6E" w:rsidRPr="008B39E1">
        <w:rPr>
          <w:rFonts w:ascii="Times New Roman" w:eastAsia="Times New Roman" w:hAnsi="Times New Roman" w:cs="Times New Roman"/>
          <w:color w:val="000000"/>
          <w:sz w:val="24"/>
          <w:szCs w:val="24"/>
        </w:rPr>
        <w:t>n</w:t>
      </w:r>
      <w:r w:rsidR="00FC4BEA" w:rsidRPr="008B39E1">
        <w:rPr>
          <w:rFonts w:ascii="Times New Roman" w:eastAsia="Times New Roman" w:hAnsi="Times New Roman" w:cs="Times New Roman"/>
          <w:color w:val="000000"/>
          <w:sz w:val="24"/>
          <w:szCs w:val="24"/>
        </w:rPr>
        <w:t>orms</w:t>
      </w:r>
      <w:r w:rsidR="00501D6E" w:rsidRPr="008B39E1">
        <w:rPr>
          <w:rFonts w:ascii="Times New Roman" w:eastAsia="Times New Roman" w:hAnsi="Times New Roman" w:cs="Times New Roman"/>
          <w:color w:val="000000"/>
          <w:sz w:val="24"/>
          <w:szCs w:val="24"/>
        </w:rPr>
        <w:t xml:space="preserve"> (columns 3-4)</w:t>
      </w:r>
      <w:r w:rsidR="00FC4BEA" w:rsidRPr="008B39E1">
        <w:rPr>
          <w:rFonts w:ascii="Times New Roman" w:eastAsia="Times New Roman" w:hAnsi="Times New Roman" w:cs="Times New Roman"/>
          <w:color w:val="000000"/>
          <w:sz w:val="24"/>
          <w:szCs w:val="24"/>
        </w:rPr>
        <w:t xml:space="preserve">, and </w:t>
      </w:r>
      <w:r w:rsidR="00501D6E" w:rsidRPr="008B39E1">
        <w:rPr>
          <w:rFonts w:ascii="Times New Roman" w:eastAsia="Times New Roman" w:hAnsi="Times New Roman" w:cs="Times New Roman"/>
          <w:color w:val="000000"/>
          <w:sz w:val="24"/>
          <w:szCs w:val="24"/>
        </w:rPr>
        <w:t xml:space="preserve">change in </w:t>
      </w:r>
      <w:r w:rsidR="00FC4BEA" w:rsidRPr="008B39E1">
        <w:rPr>
          <w:rFonts w:ascii="Times New Roman" w:eastAsia="Times New Roman" w:hAnsi="Times New Roman" w:cs="Times New Roman"/>
          <w:color w:val="000000"/>
          <w:sz w:val="24"/>
          <w:szCs w:val="24"/>
        </w:rPr>
        <w:t>network</w:t>
      </w:r>
      <w:r w:rsidR="00AC742E" w:rsidRPr="008B39E1">
        <w:rPr>
          <w:rFonts w:ascii="Times New Roman" w:eastAsia="Times New Roman" w:hAnsi="Times New Roman" w:cs="Times New Roman"/>
          <w:color w:val="000000"/>
          <w:sz w:val="24"/>
          <w:szCs w:val="24"/>
        </w:rPr>
        <w:t>.</w:t>
      </w:r>
      <w:r w:rsidR="00FA2A7C" w:rsidRPr="008B39E1">
        <w:rPr>
          <w:rFonts w:ascii="Times New Roman" w:eastAsia="Times New Roman" w:hAnsi="Times New Roman" w:cs="Times New Roman"/>
          <w:color w:val="000000"/>
          <w:sz w:val="24"/>
          <w:szCs w:val="24"/>
        </w:rPr>
        <w:t xml:space="preserve"> </w:t>
      </w:r>
    </w:p>
    <w:p w14:paraId="2D2BC2FA" w14:textId="0A527F0F" w:rsidR="002F0E1F" w:rsidRPr="008B39E1" w:rsidRDefault="00F24A34" w:rsidP="00981B19">
      <w:pPr>
        <w:spacing w:after="0" w:line="480" w:lineRule="auto"/>
        <w:ind w:firstLine="720"/>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Taken altogether, the results in </w:t>
      </w:r>
      <w:r w:rsidR="00DC55B9" w:rsidRPr="008B39E1">
        <w:rPr>
          <w:rFonts w:ascii="Times New Roman" w:eastAsia="Times New Roman" w:hAnsi="Times New Roman" w:cs="Times New Roman"/>
          <w:color w:val="000000"/>
          <w:sz w:val="24"/>
          <w:szCs w:val="24"/>
        </w:rPr>
        <w:t>Table V</w:t>
      </w:r>
      <w:r w:rsidRPr="008B39E1">
        <w:rPr>
          <w:rFonts w:ascii="Times New Roman" w:eastAsia="Times New Roman" w:hAnsi="Times New Roman" w:cs="Times New Roman"/>
          <w:color w:val="000000"/>
          <w:sz w:val="24"/>
          <w:szCs w:val="24"/>
        </w:rPr>
        <w:t xml:space="preserve">, Panels A and B </w:t>
      </w:r>
      <w:r w:rsidR="006C3A33" w:rsidRPr="008B39E1">
        <w:rPr>
          <w:rFonts w:ascii="Times New Roman" w:eastAsia="Times New Roman" w:hAnsi="Times New Roman" w:cs="Times New Roman"/>
          <w:color w:val="000000"/>
          <w:sz w:val="24"/>
          <w:szCs w:val="24"/>
        </w:rPr>
        <w:t>support our finding</w:t>
      </w:r>
      <w:r w:rsidR="00F33622" w:rsidRPr="008B39E1">
        <w:rPr>
          <w:rFonts w:ascii="Times New Roman" w:eastAsia="Times New Roman" w:hAnsi="Times New Roman" w:cs="Times New Roman"/>
          <w:color w:val="000000"/>
          <w:sz w:val="24"/>
          <w:szCs w:val="24"/>
        </w:rPr>
        <w:t xml:space="preserve">s in </w:t>
      </w:r>
      <w:r w:rsidR="00DC55B9" w:rsidRPr="008B39E1">
        <w:rPr>
          <w:rFonts w:ascii="Times New Roman" w:eastAsia="Times New Roman" w:hAnsi="Times New Roman" w:cs="Times New Roman"/>
          <w:color w:val="000000"/>
          <w:sz w:val="24"/>
          <w:szCs w:val="24"/>
        </w:rPr>
        <w:t>Table III</w:t>
      </w:r>
      <w:r w:rsidRPr="008B39E1">
        <w:rPr>
          <w:rFonts w:ascii="Times New Roman" w:eastAsia="Times New Roman" w:hAnsi="Times New Roman" w:cs="Times New Roman"/>
          <w:color w:val="000000"/>
          <w:sz w:val="24"/>
          <w:szCs w:val="24"/>
        </w:rPr>
        <w:t xml:space="preserve"> that </w:t>
      </w:r>
      <w:r w:rsidR="00D11535" w:rsidRPr="008B39E1">
        <w:rPr>
          <w:rFonts w:ascii="Times New Roman" w:eastAsia="Times New Roman" w:hAnsi="Times New Roman" w:cs="Times New Roman"/>
          <w:color w:val="000000"/>
          <w:sz w:val="24"/>
          <w:szCs w:val="24"/>
        </w:rPr>
        <w:t>the internal control environment deteriorates</w:t>
      </w:r>
      <w:r w:rsidR="00F33622" w:rsidRPr="008B39E1">
        <w:rPr>
          <w:rFonts w:ascii="Times New Roman" w:eastAsia="Times New Roman" w:hAnsi="Times New Roman" w:cs="Times New Roman"/>
          <w:color w:val="000000"/>
          <w:sz w:val="24"/>
          <w:szCs w:val="24"/>
        </w:rPr>
        <w:t>,</w:t>
      </w:r>
      <w:r w:rsidR="00D11535" w:rsidRPr="008B39E1">
        <w:rPr>
          <w:rFonts w:ascii="Times New Roman" w:eastAsia="Times New Roman" w:hAnsi="Times New Roman" w:cs="Times New Roman"/>
          <w:color w:val="000000"/>
          <w:sz w:val="24"/>
          <w:szCs w:val="24"/>
        </w:rPr>
        <w:t xml:space="preserve"> </w:t>
      </w:r>
      <w:r w:rsidR="006C3A33" w:rsidRPr="008B39E1">
        <w:rPr>
          <w:rFonts w:ascii="Times New Roman" w:eastAsia="Times New Roman" w:hAnsi="Times New Roman" w:cs="Times New Roman"/>
          <w:color w:val="000000"/>
          <w:sz w:val="24"/>
          <w:szCs w:val="24"/>
        </w:rPr>
        <w:t>in general</w:t>
      </w:r>
      <w:r w:rsidR="00F33622" w:rsidRPr="008B39E1">
        <w:rPr>
          <w:rFonts w:ascii="Times New Roman" w:eastAsia="Times New Roman" w:hAnsi="Times New Roman" w:cs="Times New Roman"/>
          <w:color w:val="000000"/>
          <w:sz w:val="24"/>
          <w:szCs w:val="24"/>
        </w:rPr>
        <w:t>,</w:t>
      </w:r>
      <w:r w:rsidR="006C3A33" w:rsidRPr="008B39E1">
        <w:rPr>
          <w:rFonts w:ascii="Times New Roman" w:eastAsia="Times New Roman" w:hAnsi="Times New Roman" w:cs="Times New Roman"/>
          <w:color w:val="000000"/>
          <w:sz w:val="24"/>
          <w:szCs w:val="24"/>
        </w:rPr>
        <w:t xml:space="preserve"> for all relocating firms. </w:t>
      </w:r>
      <w:r w:rsidR="00067EC7" w:rsidRPr="008B39E1">
        <w:rPr>
          <w:rFonts w:ascii="Times New Roman" w:eastAsia="Times New Roman" w:hAnsi="Times New Roman" w:cs="Times New Roman"/>
          <w:color w:val="000000"/>
          <w:sz w:val="24"/>
          <w:szCs w:val="24"/>
        </w:rPr>
        <w:t xml:space="preserve">When a relocation is coupled with a change in social capital, </w:t>
      </w:r>
      <w:r w:rsidR="009370BD" w:rsidRPr="008B39E1">
        <w:rPr>
          <w:rFonts w:ascii="Times New Roman" w:eastAsia="Times New Roman" w:hAnsi="Times New Roman" w:cs="Times New Roman"/>
          <w:color w:val="000000"/>
          <w:sz w:val="24"/>
          <w:szCs w:val="24"/>
        </w:rPr>
        <w:t xml:space="preserve">the already deteriorating internal control environment worsens </w:t>
      </w:r>
      <w:r w:rsidR="00ED1C54" w:rsidRPr="008B39E1">
        <w:rPr>
          <w:rFonts w:ascii="Times New Roman" w:eastAsia="Times New Roman" w:hAnsi="Times New Roman" w:cs="Times New Roman"/>
          <w:color w:val="000000"/>
          <w:sz w:val="24"/>
          <w:szCs w:val="24"/>
        </w:rPr>
        <w:t xml:space="preserve">for </w:t>
      </w:r>
      <w:r w:rsidR="00F10D8C" w:rsidRPr="008B39E1">
        <w:rPr>
          <w:rFonts w:ascii="Times New Roman" w:eastAsia="Times New Roman" w:hAnsi="Times New Roman" w:cs="Times New Roman"/>
          <w:color w:val="000000"/>
          <w:sz w:val="24"/>
          <w:szCs w:val="24"/>
        </w:rPr>
        <w:t xml:space="preserve">relocating firms </w:t>
      </w:r>
      <w:r w:rsidR="00ED1C54" w:rsidRPr="008B39E1">
        <w:rPr>
          <w:rFonts w:ascii="Times New Roman" w:eastAsia="Times New Roman" w:hAnsi="Times New Roman" w:cs="Times New Roman"/>
          <w:color w:val="000000"/>
          <w:sz w:val="24"/>
          <w:szCs w:val="24"/>
        </w:rPr>
        <w:t>that depend on accumulated employee experience and expertise.</w:t>
      </w:r>
      <w:r w:rsidR="00D41FB7" w:rsidRPr="008B39E1">
        <w:rPr>
          <w:rStyle w:val="FootnoteReference"/>
          <w:rFonts w:ascii="Times New Roman" w:eastAsia="Times New Roman" w:hAnsi="Times New Roman" w:cs="Times New Roman"/>
          <w:color w:val="000000"/>
          <w:sz w:val="24"/>
          <w:szCs w:val="24"/>
        </w:rPr>
        <w:footnoteReference w:id="29"/>
      </w:r>
      <w:r w:rsidR="00FA2A7C" w:rsidRPr="008B39E1">
        <w:rPr>
          <w:rFonts w:ascii="Times New Roman" w:eastAsia="Times New Roman" w:hAnsi="Times New Roman" w:cs="Times New Roman"/>
          <w:color w:val="000000"/>
          <w:sz w:val="24"/>
          <w:szCs w:val="24"/>
        </w:rPr>
        <w:t xml:space="preserve"> </w:t>
      </w:r>
    </w:p>
    <w:p w14:paraId="3FD8FC75" w14:textId="573EF10E" w:rsidR="008D6C72" w:rsidRPr="008B39E1" w:rsidRDefault="00CB2DF9" w:rsidP="00981B19">
      <w:pPr>
        <w:spacing w:after="0" w:line="48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 xml:space="preserve">V. </w:t>
      </w:r>
      <w:r w:rsidR="00C53886" w:rsidRPr="008B39E1">
        <w:rPr>
          <w:rFonts w:ascii="Times New Roman" w:hAnsi="Times New Roman" w:cs="Times New Roman"/>
          <w:b/>
          <w:bCs/>
          <w:sz w:val="24"/>
          <w:szCs w:val="24"/>
        </w:rPr>
        <w:t>Additional Analys</w:t>
      </w:r>
      <w:r w:rsidR="009A48E4" w:rsidRPr="008B39E1">
        <w:rPr>
          <w:rFonts w:ascii="Times New Roman" w:hAnsi="Times New Roman" w:cs="Times New Roman"/>
          <w:b/>
          <w:bCs/>
          <w:sz w:val="24"/>
          <w:szCs w:val="24"/>
        </w:rPr>
        <w:t>e</w:t>
      </w:r>
      <w:r w:rsidR="00C53886" w:rsidRPr="008B39E1">
        <w:rPr>
          <w:rFonts w:ascii="Times New Roman" w:hAnsi="Times New Roman" w:cs="Times New Roman"/>
          <w:b/>
          <w:bCs/>
          <w:sz w:val="24"/>
          <w:szCs w:val="24"/>
        </w:rPr>
        <w:t>s</w:t>
      </w:r>
    </w:p>
    <w:p w14:paraId="296B093C" w14:textId="03EA5529" w:rsidR="00B40349" w:rsidRPr="008B39E1" w:rsidRDefault="00B40349" w:rsidP="00981B19">
      <w:pPr>
        <w:spacing w:after="0" w:line="480" w:lineRule="auto"/>
        <w:rPr>
          <w:rFonts w:ascii="Times New Roman" w:hAnsi="Times New Roman" w:cs="Times New Roman"/>
          <w:b/>
          <w:bCs/>
          <w:sz w:val="24"/>
          <w:szCs w:val="24"/>
        </w:rPr>
      </w:pPr>
      <w:r w:rsidRPr="008B39E1">
        <w:rPr>
          <w:rFonts w:ascii="Times New Roman" w:hAnsi="Times New Roman" w:cs="Times New Roman"/>
          <w:b/>
          <w:bCs/>
          <w:sz w:val="24"/>
          <w:szCs w:val="24"/>
        </w:rPr>
        <w:t>Social Capital Measure</w:t>
      </w:r>
    </w:p>
    <w:p w14:paraId="13668E4B" w14:textId="34D51B27" w:rsidR="00B40349" w:rsidRPr="008B39E1" w:rsidRDefault="00B40349" w:rsidP="00981B19">
      <w:pPr>
        <w:spacing w:after="0" w:line="480" w:lineRule="auto"/>
        <w:rPr>
          <w:rFonts w:ascii="Times New Roman" w:hAnsi="Times New Roman" w:cs="Times New Roman"/>
          <w:sz w:val="24"/>
          <w:szCs w:val="24"/>
        </w:rPr>
      </w:pPr>
      <w:r w:rsidRPr="008B39E1">
        <w:rPr>
          <w:rFonts w:ascii="Times New Roman" w:hAnsi="Times New Roman" w:cs="Times New Roman"/>
          <w:sz w:val="24"/>
          <w:szCs w:val="24"/>
        </w:rPr>
        <w:lastRenderedPageBreak/>
        <w:tab/>
      </w:r>
      <w:r w:rsidR="00812568" w:rsidRPr="008B39E1">
        <w:rPr>
          <w:rFonts w:ascii="Times New Roman" w:hAnsi="Times New Roman" w:cs="Times New Roman"/>
          <w:sz w:val="24"/>
          <w:szCs w:val="24"/>
        </w:rPr>
        <w:t xml:space="preserve">As previously discussed, </w:t>
      </w:r>
      <w:r w:rsidR="003969B4" w:rsidRPr="008B39E1">
        <w:rPr>
          <w:rFonts w:ascii="Times New Roman" w:hAnsi="Times New Roman" w:cs="Times New Roman"/>
          <w:sz w:val="24"/>
          <w:szCs w:val="24"/>
        </w:rPr>
        <w:t xml:space="preserve">the data and consequentially our social capital measure is updated periodically </w:t>
      </w:r>
      <w:r w:rsidR="00F10D8C" w:rsidRPr="008B39E1">
        <w:rPr>
          <w:rFonts w:ascii="Times New Roman" w:hAnsi="Times New Roman" w:cs="Times New Roman"/>
          <w:sz w:val="24"/>
          <w:szCs w:val="24"/>
        </w:rPr>
        <w:t xml:space="preserve">– in 2005, 2009 and 2014 - </w:t>
      </w:r>
      <w:r w:rsidR="003969B4" w:rsidRPr="008B39E1">
        <w:rPr>
          <w:rFonts w:ascii="Times New Roman" w:hAnsi="Times New Roman" w:cs="Times New Roman"/>
          <w:sz w:val="24"/>
          <w:szCs w:val="24"/>
        </w:rPr>
        <w:t xml:space="preserve">within our sample period. </w:t>
      </w:r>
      <w:r w:rsidR="0067126C" w:rsidRPr="008B39E1">
        <w:rPr>
          <w:rFonts w:ascii="Times New Roman" w:hAnsi="Times New Roman" w:cs="Times New Roman"/>
          <w:sz w:val="24"/>
          <w:szCs w:val="24"/>
        </w:rPr>
        <w:t xml:space="preserve">While there are some changes in social capitals </w:t>
      </w:r>
      <w:r w:rsidR="001A3C76" w:rsidRPr="008B39E1">
        <w:rPr>
          <w:rFonts w:ascii="Times New Roman" w:hAnsi="Times New Roman" w:cs="Times New Roman"/>
          <w:sz w:val="24"/>
          <w:szCs w:val="24"/>
        </w:rPr>
        <w:t xml:space="preserve">amongst U.S. counties from 2005 to 2014, these changes are minor. </w:t>
      </w:r>
      <w:r w:rsidR="009F6115" w:rsidRPr="008B39E1">
        <w:rPr>
          <w:rFonts w:ascii="Times New Roman" w:hAnsi="Times New Roman" w:cs="Times New Roman"/>
          <w:sz w:val="24"/>
          <w:szCs w:val="24"/>
        </w:rPr>
        <w:t xml:space="preserve">Using a heat map, </w:t>
      </w:r>
      <w:r w:rsidR="009F6115" w:rsidRPr="008B39E1">
        <w:rPr>
          <w:rFonts w:ascii="Times New Roman" w:hAnsi="Times New Roman" w:cs="Times New Roman"/>
          <w:sz w:val="24"/>
          <w:szCs w:val="24"/>
        </w:rPr>
        <w:fldChar w:fldCharType="begin" w:fldLock="1"/>
      </w:r>
      <w:r w:rsidR="009F6115" w:rsidRPr="008B39E1">
        <w:rPr>
          <w:rFonts w:ascii="Times New Roman" w:hAnsi="Times New Roman" w:cs="Times New Roman"/>
          <w:sz w:val="24"/>
          <w:szCs w:val="24"/>
        </w:rPr>
        <w:instrText>ADDIN CSL_CITATION {"citationItems":[{"id":"ITEM-1","itemData":{"DOI":"10.1016/j.jbankfin.2015.08.003","ISSN":"03784266","abstract":"When corporations make an effort to be socially responsible beyond what is required by the law, this effort is often described as strategic-made mainly for the shareholders' or managers' benefit. A large body of literature corroborates this belief. But, could the incentives for corporate social responsibility (CSR) come from an altruistic inclination fostered by the social capital of the region in which the firm is headquartered? We investigate whether this phenomenon exists by examining the association between the social capital in the region and the firm's CSR. We find that a firm from a high social capital region exhibits higher CSR. This result suggests that the self-interest of shareholders or mangers does not explain all of the firm's CSR, but the altruistic inclination from the region might also play a role.","author":[{"dropping-particle":"","family":"Jha","given":"Anand","non-dropping-particle":"","parse-names":false,"suffix":""},{"dropping-particle":"","family":"Cox","given":"James","non-dropping-particle":"","parse-names":false,"suffix":""}],"container-title":"Journal of Banking and Finance","id":"ITEM-1","issue":"October","issued":{"date-parts":[["2015"]]},"page":"252-270","publisher":"Elsevier B.V.","title":"Corporate Social Responsibility and Social Capital","type":"article-journal","volume":"60"},"uris":["http://www.mendeley.com/documents/?uuid=f7108e37-c9fd-4fd6-a004-ecf8ca6e1581"]}],"mendeley":{"formattedCitation":"(Jha and Cox 2015)","manualFormatting":"(Jha and Cox (2015)","plainTextFormattedCitation":"(Jha and Cox 2015)"},"properties":{"noteIndex":0},"schema":"https://github.com/citation-style-language/schema/raw/master/csl-citation.json"}</w:instrText>
      </w:r>
      <w:r w:rsidR="009F6115" w:rsidRPr="008B39E1">
        <w:rPr>
          <w:rFonts w:ascii="Times New Roman" w:hAnsi="Times New Roman" w:cs="Times New Roman"/>
          <w:sz w:val="24"/>
          <w:szCs w:val="24"/>
        </w:rPr>
        <w:fldChar w:fldCharType="separate"/>
      </w:r>
      <w:r w:rsidR="009F6115" w:rsidRPr="008B39E1">
        <w:rPr>
          <w:rFonts w:ascii="Times New Roman" w:hAnsi="Times New Roman" w:cs="Times New Roman"/>
          <w:noProof/>
          <w:sz w:val="24"/>
          <w:szCs w:val="24"/>
        </w:rPr>
        <w:t>Jha and Cox (2015)</w:t>
      </w:r>
      <w:r w:rsidR="009F6115" w:rsidRPr="008B39E1">
        <w:rPr>
          <w:rFonts w:ascii="Times New Roman" w:hAnsi="Times New Roman" w:cs="Times New Roman"/>
          <w:sz w:val="24"/>
          <w:szCs w:val="24"/>
        </w:rPr>
        <w:fldChar w:fldCharType="end"/>
      </w:r>
      <w:r w:rsidR="009F6115" w:rsidRPr="008B39E1">
        <w:rPr>
          <w:rFonts w:ascii="Times New Roman" w:hAnsi="Times New Roman" w:cs="Times New Roman"/>
          <w:sz w:val="24"/>
          <w:szCs w:val="24"/>
        </w:rPr>
        <w:t xml:space="preserve"> demonstrate that </w:t>
      </w:r>
      <w:r w:rsidR="009B567C" w:rsidRPr="008B39E1">
        <w:rPr>
          <w:rFonts w:ascii="Times New Roman" w:hAnsi="Times New Roman" w:cs="Times New Roman"/>
          <w:sz w:val="24"/>
          <w:szCs w:val="24"/>
        </w:rPr>
        <w:t>social capital measures are qu</w:t>
      </w:r>
      <w:r w:rsidR="004C6E37" w:rsidRPr="008B39E1">
        <w:rPr>
          <w:rFonts w:ascii="Times New Roman" w:hAnsi="Times New Roman" w:cs="Times New Roman"/>
          <w:sz w:val="24"/>
          <w:szCs w:val="24"/>
        </w:rPr>
        <w:t xml:space="preserve">ite similar year after year for the same U.S. counties. </w:t>
      </w:r>
      <w:r w:rsidR="00F10D8C" w:rsidRPr="008B39E1">
        <w:rPr>
          <w:rFonts w:ascii="Times New Roman" w:hAnsi="Times New Roman" w:cs="Times New Roman"/>
          <w:sz w:val="24"/>
          <w:szCs w:val="24"/>
        </w:rPr>
        <w:t xml:space="preserve">Our social capital </w:t>
      </w:r>
      <w:r w:rsidR="00DF5F32" w:rsidRPr="008B39E1">
        <w:rPr>
          <w:rFonts w:ascii="Times New Roman" w:hAnsi="Times New Roman" w:cs="Times New Roman"/>
          <w:sz w:val="24"/>
          <w:szCs w:val="24"/>
        </w:rPr>
        <w:t>measure is</w:t>
      </w:r>
      <w:r w:rsidR="00F10D8C" w:rsidRPr="008B39E1">
        <w:rPr>
          <w:rFonts w:ascii="Times New Roman" w:hAnsi="Times New Roman" w:cs="Times New Roman"/>
          <w:sz w:val="24"/>
          <w:szCs w:val="24"/>
        </w:rPr>
        <w:t xml:space="preserve"> constructed with the 2009 data. </w:t>
      </w:r>
      <w:r w:rsidR="00B42B97" w:rsidRPr="008B39E1">
        <w:rPr>
          <w:rFonts w:ascii="Times New Roman" w:hAnsi="Times New Roman" w:cs="Times New Roman"/>
          <w:sz w:val="24"/>
          <w:szCs w:val="24"/>
        </w:rPr>
        <w:t xml:space="preserve">In </w:t>
      </w:r>
      <w:r w:rsidR="00054351" w:rsidRPr="008B39E1">
        <w:rPr>
          <w:rFonts w:ascii="Times New Roman" w:hAnsi="Times New Roman" w:cs="Times New Roman"/>
          <w:sz w:val="24"/>
          <w:szCs w:val="24"/>
        </w:rPr>
        <w:t>untabulated analyses</w:t>
      </w:r>
      <w:r w:rsidR="00B42B97" w:rsidRPr="008B39E1">
        <w:rPr>
          <w:rFonts w:ascii="Times New Roman" w:hAnsi="Times New Roman" w:cs="Times New Roman"/>
          <w:sz w:val="24"/>
          <w:szCs w:val="24"/>
        </w:rPr>
        <w:t xml:space="preserve">, we </w:t>
      </w:r>
      <w:r w:rsidR="00054351" w:rsidRPr="008B39E1">
        <w:rPr>
          <w:rFonts w:ascii="Times New Roman" w:hAnsi="Times New Roman" w:cs="Times New Roman"/>
          <w:sz w:val="24"/>
          <w:szCs w:val="24"/>
        </w:rPr>
        <w:t xml:space="preserve">examine </w:t>
      </w:r>
      <w:r w:rsidR="00D750A6" w:rsidRPr="008B39E1">
        <w:rPr>
          <w:rFonts w:ascii="Times New Roman" w:hAnsi="Times New Roman" w:cs="Times New Roman"/>
          <w:sz w:val="24"/>
          <w:szCs w:val="24"/>
        </w:rPr>
        <w:t xml:space="preserve">the </w:t>
      </w:r>
      <w:r w:rsidR="00DF5F32" w:rsidRPr="008B39E1">
        <w:rPr>
          <w:rFonts w:ascii="Times New Roman" w:hAnsi="Times New Roman" w:cs="Times New Roman"/>
          <w:sz w:val="24"/>
          <w:szCs w:val="24"/>
        </w:rPr>
        <w:t>correlation between</w:t>
      </w:r>
      <w:r w:rsidR="00D750A6" w:rsidRPr="008B39E1">
        <w:rPr>
          <w:rFonts w:ascii="Times New Roman" w:hAnsi="Times New Roman" w:cs="Times New Roman"/>
          <w:sz w:val="24"/>
          <w:szCs w:val="24"/>
        </w:rPr>
        <w:t xml:space="preserve"> the 2005, 2009, and 2014 social capital measures</w:t>
      </w:r>
      <w:r w:rsidR="00844DAA" w:rsidRPr="008B39E1">
        <w:rPr>
          <w:rFonts w:ascii="Times New Roman" w:hAnsi="Times New Roman" w:cs="Times New Roman"/>
          <w:sz w:val="24"/>
          <w:szCs w:val="24"/>
        </w:rPr>
        <w:t xml:space="preserve"> and find that the 2009 social capital measure, the year of data that we used, is highly correlated with </w:t>
      </w:r>
      <w:r w:rsidR="00572F5F" w:rsidRPr="008B39E1">
        <w:rPr>
          <w:rFonts w:ascii="Times New Roman" w:hAnsi="Times New Roman" w:cs="Times New Roman"/>
          <w:sz w:val="24"/>
          <w:szCs w:val="24"/>
        </w:rPr>
        <w:t xml:space="preserve">both the 2005 (0.934) and 2015 (0.918) measures. </w:t>
      </w:r>
      <w:r w:rsidR="00440AF0" w:rsidRPr="008B39E1">
        <w:rPr>
          <w:rFonts w:ascii="Times New Roman" w:hAnsi="Times New Roman" w:cs="Times New Roman"/>
          <w:sz w:val="24"/>
          <w:szCs w:val="24"/>
        </w:rPr>
        <w:t>Thus, w</w:t>
      </w:r>
      <w:r w:rsidR="00AA2F3E" w:rsidRPr="008B39E1">
        <w:rPr>
          <w:rFonts w:ascii="Times New Roman" w:hAnsi="Times New Roman" w:cs="Times New Roman"/>
          <w:sz w:val="24"/>
          <w:szCs w:val="24"/>
        </w:rPr>
        <w:t>e have comfort that our results are unlikely affected by the</w:t>
      </w:r>
      <w:r w:rsidR="004E70E5" w:rsidRPr="008B39E1">
        <w:rPr>
          <w:rFonts w:ascii="Times New Roman" w:hAnsi="Times New Roman" w:cs="Times New Roman"/>
          <w:sz w:val="24"/>
          <w:szCs w:val="24"/>
        </w:rPr>
        <w:t xml:space="preserve"> timing of the</w:t>
      </w:r>
      <w:r w:rsidR="00AA2F3E" w:rsidRPr="008B39E1">
        <w:rPr>
          <w:rFonts w:ascii="Times New Roman" w:hAnsi="Times New Roman" w:cs="Times New Roman"/>
          <w:sz w:val="24"/>
          <w:szCs w:val="24"/>
        </w:rPr>
        <w:t xml:space="preserve"> </w:t>
      </w:r>
      <w:r w:rsidR="006F5B42" w:rsidRPr="008B39E1">
        <w:rPr>
          <w:rFonts w:ascii="Times New Roman" w:hAnsi="Times New Roman" w:cs="Times New Roman"/>
          <w:sz w:val="24"/>
          <w:szCs w:val="24"/>
        </w:rPr>
        <w:t>social capital dat</w:t>
      </w:r>
      <w:r w:rsidR="004E70E5" w:rsidRPr="008B39E1">
        <w:rPr>
          <w:rFonts w:ascii="Times New Roman" w:hAnsi="Times New Roman" w:cs="Times New Roman"/>
          <w:sz w:val="24"/>
          <w:szCs w:val="24"/>
        </w:rPr>
        <w:t xml:space="preserve">a. </w:t>
      </w:r>
    </w:p>
    <w:p w14:paraId="0DA8C40F" w14:textId="14A1EA06" w:rsidR="003C5554" w:rsidRPr="008B39E1" w:rsidRDefault="003C5554" w:rsidP="00981B19">
      <w:pPr>
        <w:spacing w:after="0" w:line="480" w:lineRule="auto"/>
        <w:rPr>
          <w:rFonts w:ascii="Times New Roman" w:hAnsi="Times New Roman" w:cs="Times New Roman"/>
          <w:b/>
          <w:bCs/>
          <w:sz w:val="24"/>
          <w:szCs w:val="24"/>
        </w:rPr>
      </w:pPr>
      <w:r w:rsidRPr="008B39E1">
        <w:rPr>
          <w:rFonts w:ascii="Times New Roman" w:hAnsi="Times New Roman" w:cs="Times New Roman"/>
          <w:b/>
          <w:bCs/>
          <w:sz w:val="24"/>
          <w:szCs w:val="24"/>
        </w:rPr>
        <w:t>Subsequent Period Test</w:t>
      </w:r>
    </w:p>
    <w:p w14:paraId="1E762DD2" w14:textId="483E3A39" w:rsidR="003C5554" w:rsidRPr="008B39E1" w:rsidRDefault="003C5554"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We perform a subsequent period test to address the concern that our findings are driven by unobservable firm characteristics and not by relocation disruptions. Prior literature documents </w:t>
      </w:r>
      <w:r w:rsidR="00F1562A" w:rsidRPr="008B39E1">
        <w:rPr>
          <w:rFonts w:ascii="Times New Roman" w:hAnsi="Times New Roman" w:cs="Times New Roman"/>
          <w:sz w:val="24"/>
          <w:szCs w:val="24"/>
        </w:rPr>
        <w:t xml:space="preserve">                                    </w:t>
      </w:r>
      <w:r w:rsidRPr="008B39E1">
        <w:rPr>
          <w:rFonts w:ascii="Times New Roman" w:hAnsi="Times New Roman" w:cs="Times New Roman"/>
          <w:sz w:val="24"/>
          <w:szCs w:val="24"/>
        </w:rPr>
        <w:t xml:space="preserve">high costs of internal control weaknesses and not remediating </w:t>
      </w:r>
      <w:r w:rsidR="00262B4B" w:rsidRPr="008B39E1">
        <w:rPr>
          <w:rFonts w:ascii="Times New Roman" w:hAnsi="Times New Roman" w:cs="Times New Roman"/>
          <w:sz w:val="24"/>
          <w:szCs w:val="24"/>
        </w:rPr>
        <w:t>those weaknesses</w:t>
      </w:r>
      <w:r w:rsidRPr="008B39E1">
        <w:rPr>
          <w:rFonts w:ascii="Times New Roman" w:hAnsi="Times New Roman" w:cs="Times New Roman"/>
          <w:sz w:val="24"/>
          <w:szCs w:val="24"/>
        </w:rPr>
        <w:t xml:space="preserve"> </w:t>
      </w:r>
      <w:r w:rsidR="00257AF7" w:rsidRPr="008B39E1">
        <w:rPr>
          <w:rFonts w:ascii="Times New Roman" w:hAnsi="Times New Roman" w:cs="Times New Roman"/>
          <w:sz w:val="24"/>
          <w:szCs w:val="24"/>
        </w:rPr>
        <w:t xml:space="preserve">in the form of audit costs, reputation damages, and </w:t>
      </w:r>
      <w:r w:rsidR="009C4EF8" w:rsidRPr="008B39E1">
        <w:rPr>
          <w:rFonts w:ascii="Times New Roman" w:hAnsi="Times New Roman" w:cs="Times New Roman"/>
          <w:sz w:val="24"/>
          <w:szCs w:val="24"/>
        </w:rPr>
        <w:t xml:space="preserve">decreased financial reporting quality </w:t>
      </w:r>
      <w:r w:rsidRPr="008B39E1">
        <w:rPr>
          <w:rFonts w:ascii="Times New Roman" w:hAnsi="Times New Roman" w:cs="Times New Roman"/>
          <w:sz w:val="24"/>
          <w:szCs w:val="24"/>
        </w:rPr>
        <w:fldChar w:fldCharType="begin" w:fldLock="1"/>
      </w:r>
      <w:r w:rsidR="00DE2899" w:rsidRPr="008B39E1">
        <w:rPr>
          <w:rFonts w:ascii="Times New Roman" w:hAnsi="Times New Roman" w:cs="Times New Roman"/>
          <w:sz w:val="24"/>
          <w:szCs w:val="24"/>
        </w:rPr>
        <w:instrText>ADDIN CSL_CITATION {"citationItems":[{"id":"ITEM-1","itemData":{"DOI":"10.2308/aud.2008.27.1.169","ISSN":"02780380","abstract":"This study examines companies' costs to comply with SOX 404 and identifies factors that are associated with these costs. SOX 404 costs can be classified into three categories: internal labor costs, external consulting and technology expenses, and auditor attestation charges. While prior research has examined audit fees associated with SOX 404, we examine both total costs and auditor attestation costs associated with SOX 404. Based on a sample of companies that voluntarily disclosed SOX 404 cost information during the period from January 2003 to September 2005, we find that the mean (median) total compliance costs for Section 404 is $2.2 ($1.2) million. Regression analyses Indicate that the total compliance costs are positively associated with firm size, the presence of material internal control weaknesses, the cost of setting up new computer systems and establishing formal internal control policies, the involvement of large auditors, the appointment of new CEOs, and are negatively associated with firms in regulated industries and firms that raised new financing. Firm size and the incidence of material weaknesses are also the drivers of SOX 404 audit costs, one component of total SOX 404 costs.","author":[{"dropping-particle":"","family":"Krishnan","given":"Jagan","non-dropping-particle":"","parse-names":false,"suffix":""},{"dropping-particle":"","family":"Rama","given":"Dasaratha","non-dropping-particle":"","parse-names":false,"suffix":""},{"dropping-particle":"","family":"Yinghong","given":"Zhang","non-dropping-particle":"","parse-names":false,"suffix":""}],"container-title":"Auditing: A Journal of Practice &amp; Theory","id":"ITEM-1","issue":"1","issued":{"date-parts":[["2008"]]},"page":"169-186","title":"Costs to comply with SOX section 404","type":"article-journal","volume":"27"},"uris":["http://www.mendeley.com/documents/?uuid=c212035b-c4c8-46e7-a449-d204a423b4ca"]},{"id":"ITEM-2","itemData":{"DOI":"10.2308/accr-51113","ISSN":"00014826","abstract":"This study investigates whether the market for audit clients penalizes auditors following association with low-quality audits. Specifically, we examine whether audit offices experience a loss in local market share following client restatements. We document that the frequency of restatement announcements within an office-year (\"contamination\") is inversely related to subsequent year-over-year change in local market share. Further analysis indicates that restatements impair the office's ability to both attract and retain audit clients. We find that this effect is strongest in high competition markets and diminished in low competition markets. We also examine auditor retention decisions at the client level and find that the likelihood of auditor dismissal increases with contamination, even for non-restating clients. We also find that, on average, clients dismissing their auditor select less contaminated audit offices. Taken together, our results suggest that market forces penalize auditors for association with audit failures, thereby providing an incentive to maintain high-quality audits and protect reputational capital.","author":[{"dropping-particle":"","family":"Swanquist","given":"Quinn T.","non-dropping-particle":"","parse-names":false,"suffix":""},{"dropping-particle":"","family":"Whited","given":"Robert L.","non-dropping-particle":"","parse-names":false,"suffix":""}],"container-title":"The Accounting Review","id":"ITEM-2","issue":"6","issued":{"date-parts":[["2015"]]},"page":"2537-2570","title":"Do Clients Avoid \"Contaminated\" Offices? The Economic Consequences of Low-quality Audits","type":"article-journal","volume":"90"},"uris":["http://www.mendeley.com/documents/?uuid=b3fad121-9f39-4235-8148-01a6ac2cb8c8"]},{"id":"ITEM-3","itemData":{"DOI":"10.1016/j.jacceco.2017.01.001","ISSN":"01654101","abstract":"We quantify measurable benefits and costs of exempting firms from auditor oversight of internal control effectiveness disclosures. We measure the benefit of exemption as an aggregate $388 million in audit fee savings from 2007–2014. The costs stem from internal control misreporting: an aggregate $719 million of lower operating performance due to non-remediation and a $935 million delay in aggregate market value decline due to the failure to disclose ineffective internal controls. The audit fee savings benefit shareholders of all exempt firms, whereas the costs are borne by shareholders of only a fraction of exempt firms (the internal control misreporters).","author":[{"dropping-particle":"","family":"Ge","given":"Weili","non-dropping-particle":"","parse-names":false,"suffix":""},{"dropping-particle":"","family":"Koester","given":"Allison","non-dropping-particle":"","parse-names":false,"suffix":""},{"dropping-particle":"","family":"McVay","given":"Sarah","non-dropping-particle":"","parse-names":false,"suffix":""}],"container-title":"Journal of Accounting and Economics","id":"ITEM-3","issue":"2-3","issued":{"date-parts":[["2017"]]},"page":"358-384","publisher":"Elsevier B.V.","title":"Benefits and costs of Sarbanes-Oxley Section 404(b) exemption: Evidence from small firms’ internal control disclosures","type":"article-journal","volume":"63"},"uris":["http://www.mendeley.com/documents/?uuid=bfa30f21-b1bd-489f-99cf-7e5be920de7a"]}],"mendeley":{"formattedCitation":"(Krishnan et al. 2008; Swanquist and Whited 2015; Ge et al. 2017)","manualFormatting":"(Krishnan, Rama, and Yinghong 2008; Swanquist and Whited 2015; Ge, Koester, and McVay 2017)","plainTextFormattedCitation":"(Krishnan et al. 2008; Swanquist and Whited 2015; Ge et al. 2017)","previouslyFormattedCitation":"(Krishnan et al. 2008; Swanquist and Whited 2015; Ge et al. 2017)"},"properties":{"noteIndex":0},"schema":"https://github.com/citation-style-language/schema/raw/master/csl-citation.json"}</w:instrText>
      </w:r>
      <w:r w:rsidRPr="008B39E1">
        <w:rPr>
          <w:rFonts w:ascii="Times New Roman" w:hAnsi="Times New Roman" w:cs="Times New Roman"/>
          <w:sz w:val="24"/>
          <w:szCs w:val="24"/>
        </w:rPr>
        <w:fldChar w:fldCharType="separate"/>
      </w:r>
      <w:r w:rsidRPr="008B39E1">
        <w:rPr>
          <w:rFonts w:ascii="Times New Roman" w:hAnsi="Times New Roman" w:cs="Times New Roman"/>
          <w:noProof/>
          <w:sz w:val="24"/>
          <w:szCs w:val="24"/>
        </w:rPr>
        <w:t>(Krishnan, Rama, and Yinghong</w:t>
      </w:r>
      <w:r w:rsidR="00EB3D51"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2008; Swanquist and Whited</w:t>
      </w:r>
      <w:r w:rsidR="00EB3D51"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2015; Ge, Koester, and McVay</w:t>
      </w:r>
      <w:r w:rsidR="00EB3D51" w:rsidRPr="008B39E1">
        <w:rPr>
          <w:rFonts w:ascii="Times New Roman" w:hAnsi="Times New Roman" w:cs="Times New Roman"/>
          <w:noProof/>
          <w:sz w:val="24"/>
          <w:szCs w:val="24"/>
        </w:rPr>
        <w:t>,</w:t>
      </w:r>
      <w:r w:rsidRPr="008B39E1">
        <w:rPr>
          <w:rFonts w:ascii="Times New Roman" w:hAnsi="Times New Roman" w:cs="Times New Roman"/>
          <w:noProof/>
          <w:sz w:val="24"/>
          <w:szCs w:val="24"/>
        </w:rPr>
        <w:t xml:space="preserve"> 2017)</w:t>
      </w:r>
      <w:r w:rsidRPr="008B39E1">
        <w:rPr>
          <w:rFonts w:ascii="Times New Roman" w:hAnsi="Times New Roman" w:cs="Times New Roman"/>
          <w:sz w:val="24"/>
          <w:szCs w:val="24"/>
        </w:rPr>
        <w:fldChar w:fldCharType="end"/>
      </w:r>
      <w:r w:rsidRPr="008B39E1">
        <w:rPr>
          <w:rFonts w:ascii="Times New Roman" w:hAnsi="Times New Roman" w:cs="Times New Roman"/>
          <w:sz w:val="24"/>
          <w:szCs w:val="24"/>
        </w:rPr>
        <w:t xml:space="preserve">. Given these costs, a firm is incentivized to remediate internal control weaknesses by the following financial reporting period. </w:t>
      </w:r>
    </w:p>
    <w:p w14:paraId="487723E6" w14:textId="135E8C6F" w:rsidR="003C5554" w:rsidRPr="008B39E1" w:rsidRDefault="003F45A7"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In </w:t>
      </w:r>
      <w:r w:rsidR="00DC55B9" w:rsidRPr="008B39E1">
        <w:rPr>
          <w:rFonts w:ascii="Times New Roman" w:hAnsi="Times New Roman" w:cs="Times New Roman"/>
          <w:sz w:val="24"/>
          <w:szCs w:val="24"/>
        </w:rPr>
        <w:t>Table VI</w:t>
      </w:r>
      <w:r w:rsidRPr="008B39E1">
        <w:rPr>
          <w:rFonts w:ascii="Times New Roman" w:hAnsi="Times New Roman" w:cs="Times New Roman"/>
          <w:sz w:val="24"/>
          <w:szCs w:val="24"/>
        </w:rPr>
        <w:t xml:space="preserve">, Column (1), we rerun our analysis in </w:t>
      </w:r>
      <w:r w:rsidR="00DC55B9" w:rsidRPr="008B39E1">
        <w:rPr>
          <w:rFonts w:ascii="Times New Roman" w:hAnsi="Times New Roman" w:cs="Times New Roman"/>
          <w:sz w:val="24"/>
          <w:szCs w:val="24"/>
        </w:rPr>
        <w:t>Table III</w:t>
      </w:r>
      <w:r w:rsidRPr="008B39E1">
        <w:rPr>
          <w:rFonts w:ascii="Times New Roman" w:hAnsi="Times New Roman" w:cs="Times New Roman"/>
          <w:sz w:val="24"/>
          <w:szCs w:val="24"/>
        </w:rPr>
        <w:t xml:space="preserve"> </w:t>
      </w:r>
      <w:r w:rsidR="006975CE" w:rsidRPr="008B39E1">
        <w:rPr>
          <w:rFonts w:ascii="Times New Roman" w:hAnsi="Times New Roman" w:cs="Times New Roman"/>
          <w:sz w:val="24"/>
          <w:szCs w:val="24"/>
        </w:rPr>
        <w:t xml:space="preserve">to include two years after relocation. </w:t>
      </w:r>
      <w:r w:rsidR="00FB0DDE" w:rsidRPr="008B39E1">
        <w:rPr>
          <w:rFonts w:ascii="Times New Roman" w:hAnsi="Times New Roman" w:cs="Times New Roman"/>
          <w:sz w:val="24"/>
          <w:szCs w:val="24"/>
        </w:rPr>
        <w:t xml:space="preserve">In Column (2), we </w:t>
      </w:r>
      <w:r w:rsidRPr="008B39E1">
        <w:rPr>
          <w:rFonts w:ascii="Times New Roman" w:hAnsi="Times New Roman" w:cs="Times New Roman"/>
          <w:sz w:val="24"/>
          <w:szCs w:val="24"/>
        </w:rPr>
        <w:t>include</w:t>
      </w:r>
      <w:r w:rsidR="003034D4" w:rsidRPr="008B39E1">
        <w:rPr>
          <w:rFonts w:ascii="Times New Roman" w:hAnsi="Times New Roman" w:cs="Times New Roman"/>
          <w:sz w:val="24"/>
          <w:szCs w:val="24"/>
        </w:rPr>
        <w:t xml:space="preserve"> separate interaction terms for </w:t>
      </w:r>
      <w:r w:rsidR="00D4398A" w:rsidRPr="008B39E1">
        <w:rPr>
          <w:rFonts w:ascii="Times New Roman" w:hAnsi="Times New Roman" w:cs="Times New Roman"/>
          <w:sz w:val="24"/>
          <w:szCs w:val="24"/>
        </w:rPr>
        <w:t>two post years following relocation</w:t>
      </w:r>
      <w:r w:rsidR="003C5554" w:rsidRPr="008B39E1">
        <w:rPr>
          <w:rFonts w:ascii="Times New Roman" w:hAnsi="Times New Roman" w:cs="Times New Roman"/>
          <w:sz w:val="24"/>
          <w:szCs w:val="24"/>
        </w:rPr>
        <w:t xml:space="preserve">. </w:t>
      </w:r>
      <w:r w:rsidR="008B5406" w:rsidRPr="008B39E1">
        <w:rPr>
          <w:rFonts w:ascii="Times New Roman" w:hAnsi="Times New Roman" w:cs="Times New Roman"/>
          <w:sz w:val="24"/>
          <w:szCs w:val="24"/>
        </w:rPr>
        <w:t xml:space="preserve">We find a positive and </w:t>
      </w:r>
      <w:r w:rsidR="004C1D2C" w:rsidRPr="008B39E1">
        <w:rPr>
          <w:rFonts w:ascii="Times New Roman" w:hAnsi="Times New Roman" w:cs="Times New Roman"/>
          <w:sz w:val="24"/>
          <w:szCs w:val="24"/>
        </w:rPr>
        <w:t>significant</w:t>
      </w:r>
      <w:r w:rsidR="008B5406" w:rsidRPr="008B39E1">
        <w:rPr>
          <w:rFonts w:ascii="Times New Roman" w:hAnsi="Times New Roman" w:cs="Times New Roman"/>
          <w:sz w:val="24"/>
          <w:szCs w:val="24"/>
        </w:rPr>
        <w:t xml:space="preserve"> coefficient for </w:t>
      </w:r>
      <w:r w:rsidR="00D147A1" w:rsidRPr="008B39E1">
        <w:rPr>
          <w:rFonts w:ascii="Times New Roman" w:hAnsi="Times New Roman" w:cs="Times New Roman"/>
          <w:i/>
          <w:iCs/>
          <w:sz w:val="24"/>
          <w:szCs w:val="24"/>
        </w:rPr>
        <w:t>RELOCATE</w:t>
      </w:r>
      <w:r w:rsidR="008B5406" w:rsidRPr="008B39E1">
        <w:rPr>
          <w:rFonts w:ascii="Times New Roman" w:hAnsi="Times New Roman" w:cs="Times New Roman"/>
          <w:i/>
          <w:iCs/>
          <w:sz w:val="24"/>
          <w:szCs w:val="24"/>
        </w:rPr>
        <w:t>xPOST1</w:t>
      </w:r>
      <w:r w:rsidR="008B5406" w:rsidRPr="008B39E1">
        <w:rPr>
          <w:rFonts w:ascii="Times New Roman" w:hAnsi="Times New Roman" w:cs="Times New Roman"/>
          <w:sz w:val="24"/>
          <w:szCs w:val="24"/>
        </w:rPr>
        <w:t xml:space="preserve"> but no significance for </w:t>
      </w:r>
      <w:r w:rsidR="00D147A1" w:rsidRPr="008B39E1">
        <w:rPr>
          <w:rFonts w:ascii="Times New Roman" w:hAnsi="Times New Roman" w:cs="Times New Roman"/>
          <w:i/>
          <w:iCs/>
          <w:sz w:val="24"/>
          <w:szCs w:val="24"/>
        </w:rPr>
        <w:t>RELOCATE</w:t>
      </w:r>
      <w:r w:rsidR="008B5406" w:rsidRPr="008B39E1">
        <w:rPr>
          <w:rFonts w:ascii="Times New Roman" w:hAnsi="Times New Roman" w:cs="Times New Roman"/>
          <w:i/>
          <w:iCs/>
          <w:sz w:val="24"/>
          <w:szCs w:val="24"/>
        </w:rPr>
        <w:t>xPOST2</w:t>
      </w:r>
      <w:r w:rsidR="008B5406" w:rsidRPr="008B39E1">
        <w:rPr>
          <w:rFonts w:ascii="Times New Roman" w:hAnsi="Times New Roman" w:cs="Times New Roman"/>
          <w:sz w:val="24"/>
          <w:szCs w:val="24"/>
        </w:rPr>
        <w:t>.</w:t>
      </w:r>
      <w:r w:rsidR="003C5554" w:rsidRPr="008B39E1">
        <w:rPr>
          <w:rFonts w:ascii="Times New Roman" w:hAnsi="Times New Roman" w:cs="Times New Roman"/>
          <w:sz w:val="24"/>
          <w:szCs w:val="24"/>
        </w:rPr>
        <w:t xml:space="preserve"> The result suggests that relocating firms may have </w:t>
      </w:r>
      <w:proofErr w:type="gramStart"/>
      <w:r w:rsidR="003C5554" w:rsidRPr="008B39E1">
        <w:rPr>
          <w:rFonts w:ascii="Times New Roman" w:hAnsi="Times New Roman" w:cs="Times New Roman"/>
          <w:sz w:val="24"/>
          <w:szCs w:val="24"/>
        </w:rPr>
        <w:t>remediated</w:t>
      </w:r>
      <w:proofErr w:type="gramEnd"/>
      <w:r w:rsidR="003C5554" w:rsidRPr="008B39E1">
        <w:rPr>
          <w:rFonts w:ascii="Times New Roman" w:hAnsi="Times New Roman" w:cs="Times New Roman"/>
          <w:sz w:val="24"/>
          <w:szCs w:val="24"/>
        </w:rPr>
        <w:t xml:space="preserve"> internal control issues. Importantly, this strengthens our main findings that relocation </w:t>
      </w:r>
      <w:r w:rsidR="003C5554" w:rsidRPr="008B39E1">
        <w:rPr>
          <w:rFonts w:ascii="Times New Roman" w:hAnsi="Times New Roman" w:cs="Times New Roman"/>
          <w:sz w:val="24"/>
          <w:szCs w:val="24"/>
        </w:rPr>
        <w:lastRenderedPageBreak/>
        <w:t xml:space="preserve">disruption is associated with an increase in likelihood of </w:t>
      </w:r>
      <w:proofErr w:type="spellStart"/>
      <w:r w:rsidR="003C5554" w:rsidRPr="008B39E1">
        <w:rPr>
          <w:rFonts w:ascii="Times New Roman" w:hAnsi="Times New Roman" w:cs="Times New Roman"/>
          <w:i/>
          <w:iCs/>
          <w:sz w:val="24"/>
          <w:szCs w:val="24"/>
        </w:rPr>
        <w:t>ICINEFF</w:t>
      </w:r>
      <w:proofErr w:type="spellEnd"/>
      <w:r w:rsidR="00B537F3" w:rsidRPr="008B39E1">
        <w:rPr>
          <w:rFonts w:ascii="Times New Roman" w:hAnsi="Times New Roman" w:cs="Times New Roman"/>
          <w:sz w:val="24"/>
          <w:szCs w:val="24"/>
        </w:rPr>
        <w:t xml:space="preserve"> in the year following relocation</w:t>
      </w:r>
      <w:r w:rsidR="00494310" w:rsidRPr="008B39E1">
        <w:rPr>
          <w:rFonts w:ascii="Times New Roman" w:hAnsi="Times New Roman" w:cs="Times New Roman"/>
          <w:sz w:val="24"/>
          <w:szCs w:val="24"/>
        </w:rPr>
        <w:t xml:space="preserve"> and less likely the result of </w:t>
      </w:r>
      <w:r w:rsidR="0091332A" w:rsidRPr="008B39E1">
        <w:rPr>
          <w:rFonts w:ascii="Times New Roman" w:hAnsi="Times New Roman" w:cs="Times New Roman"/>
          <w:sz w:val="24"/>
          <w:szCs w:val="24"/>
        </w:rPr>
        <w:t>inherent firm characteristics</w:t>
      </w:r>
      <w:r w:rsidR="003C5554" w:rsidRPr="008B39E1">
        <w:rPr>
          <w:rFonts w:ascii="Times New Roman" w:hAnsi="Times New Roman" w:cs="Times New Roman"/>
          <w:sz w:val="24"/>
          <w:szCs w:val="24"/>
        </w:rPr>
        <w:t>.</w:t>
      </w:r>
    </w:p>
    <w:p w14:paraId="6BF4F59A" w14:textId="1C97079D" w:rsidR="00E63DA2" w:rsidRPr="008B39E1" w:rsidRDefault="00E63DA2" w:rsidP="00981B19">
      <w:pPr>
        <w:spacing w:after="0" w:line="480" w:lineRule="auto"/>
        <w:rPr>
          <w:rFonts w:ascii="Times New Roman" w:hAnsi="Times New Roman" w:cs="Times New Roman"/>
          <w:sz w:val="24"/>
          <w:szCs w:val="24"/>
        </w:rPr>
      </w:pPr>
      <w:r w:rsidRPr="008B39E1">
        <w:rPr>
          <w:rFonts w:ascii="Times New Roman" w:hAnsi="Times New Roman" w:cs="Times New Roman"/>
          <w:b/>
          <w:bCs/>
          <w:sz w:val="24"/>
          <w:szCs w:val="24"/>
        </w:rPr>
        <w:t>Relocating Distance</w:t>
      </w:r>
    </w:p>
    <w:p w14:paraId="07CB1551" w14:textId="444118BE" w:rsidR="00E63DA2" w:rsidRPr="008B39E1" w:rsidRDefault="00E63DA2" w:rsidP="00981B19">
      <w:pPr>
        <w:spacing w:after="0" w:line="480" w:lineRule="auto"/>
        <w:rPr>
          <w:rFonts w:ascii="Times New Roman" w:hAnsi="Times New Roman" w:cs="Times New Roman"/>
          <w:sz w:val="24"/>
          <w:szCs w:val="24"/>
        </w:rPr>
      </w:pPr>
      <w:r w:rsidRPr="008B39E1">
        <w:rPr>
          <w:rFonts w:ascii="Times New Roman" w:hAnsi="Times New Roman" w:cs="Times New Roman"/>
          <w:sz w:val="24"/>
          <w:szCs w:val="24"/>
        </w:rPr>
        <w:tab/>
      </w:r>
      <w:r w:rsidR="00E8419C" w:rsidRPr="008B39E1">
        <w:rPr>
          <w:rFonts w:ascii="Times New Roman" w:hAnsi="Times New Roman" w:cs="Times New Roman"/>
          <w:sz w:val="24"/>
          <w:szCs w:val="24"/>
        </w:rPr>
        <w:t xml:space="preserve">Relocating distance can moderate or exacerbate </w:t>
      </w:r>
      <w:r w:rsidR="00E61E17" w:rsidRPr="008B39E1">
        <w:rPr>
          <w:rFonts w:ascii="Times New Roman" w:hAnsi="Times New Roman" w:cs="Times New Roman"/>
          <w:sz w:val="24"/>
          <w:szCs w:val="24"/>
        </w:rPr>
        <w:t>the effect</w:t>
      </w:r>
      <w:r w:rsidR="00E8419C" w:rsidRPr="008B39E1">
        <w:rPr>
          <w:rFonts w:ascii="Times New Roman" w:hAnsi="Times New Roman" w:cs="Times New Roman"/>
          <w:sz w:val="24"/>
          <w:szCs w:val="24"/>
        </w:rPr>
        <w:t xml:space="preserve"> of social capital change on internal</w:t>
      </w:r>
      <w:r w:rsidR="00197365" w:rsidRPr="008B39E1">
        <w:rPr>
          <w:rFonts w:ascii="Times New Roman" w:hAnsi="Times New Roman" w:cs="Times New Roman"/>
          <w:sz w:val="24"/>
          <w:szCs w:val="24"/>
        </w:rPr>
        <w:t xml:space="preserve"> control</w:t>
      </w:r>
      <w:r w:rsidR="00E8419C" w:rsidRPr="008B39E1">
        <w:rPr>
          <w:rFonts w:ascii="Times New Roman" w:hAnsi="Times New Roman" w:cs="Times New Roman"/>
          <w:sz w:val="24"/>
          <w:szCs w:val="24"/>
        </w:rPr>
        <w:t xml:space="preserve"> effectiveness.</w:t>
      </w:r>
      <w:r w:rsidR="00954710" w:rsidRPr="008B39E1">
        <w:rPr>
          <w:rFonts w:ascii="Times New Roman" w:hAnsi="Times New Roman" w:cs="Times New Roman"/>
          <w:sz w:val="24"/>
          <w:szCs w:val="24"/>
        </w:rPr>
        <w:t xml:space="preserve"> </w:t>
      </w:r>
      <w:r w:rsidR="002651D8" w:rsidRPr="008B39E1">
        <w:rPr>
          <w:rFonts w:ascii="Times New Roman" w:hAnsi="Times New Roman" w:cs="Times New Roman"/>
          <w:sz w:val="24"/>
          <w:szCs w:val="24"/>
        </w:rPr>
        <w:t xml:space="preserve">In </w:t>
      </w:r>
      <w:r w:rsidR="00DC55B9" w:rsidRPr="008B39E1">
        <w:rPr>
          <w:rFonts w:ascii="Times New Roman" w:hAnsi="Times New Roman" w:cs="Times New Roman"/>
          <w:sz w:val="24"/>
          <w:szCs w:val="24"/>
        </w:rPr>
        <w:t>Table VII</w:t>
      </w:r>
      <w:r w:rsidR="002651D8" w:rsidRPr="008B39E1">
        <w:rPr>
          <w:rFonts w:ascii="Times New Roman" w:hAnsi="Times New Roman" w:cs="Times New Roman"/>
          <w:sz w:val="24"/>
          <w:szCs w:val="24"/>
        </w:rPr>
        <w:t xml:space="preserve">, we </w:t>
      </w:r>
      <w:r w:rsidR="00581A8B" w:rsidRPr="008B39E1">
        <w:rPr>
          <w:rFonts w:ascii="Times New Roman" w:hAnsi="Times New Roman" w:cs="Times New Roman"/>
          <w:sz w:val="24"/>
          <w:szCs w:val="24"/>
        </w:rPr>
        <w:t xml:space="preserve">split our sample by relocations involving less than 50 miles </w:t>
      </w:r>
      <w:r w:rsidR="007D4FB6" w:rsidRPr="008B39E1">
        <w:rPr>
          <w:rFonts w:ascii="Times New Roman" w:hAnsi="Times New Roman" w:cs="Times New Roman"/>
          <w:sz w:val="24"/>
          <w:szCs w:val="24"/>
        </w:rPr>
        <w:t xml:space="preserve">(Panel A) </w:t>
      </w:r>
      <w:r w:rsidR="00581A8B" w:rsidRPr="008B39E1">
        <w:rPr>
          <w:rFonts w:ascii="Times New Roman" w:hAnsi="Times New Roman" w:cs="Times New Roman"/>
          <w:sz w:val="24"/>
          <w:szCs w:val="24"/>
        </w:rPr>
        <w:t>and equal to or more than 50 miles</w:t>
      </w:r>
      <w:r w:rsidR="007D4FB6" w:rsidRPr="008B39E1">
        <w:rPr>
          <w:rFonts w:ascii="Times New Roman" w:hAnsi="Times New Roman" w:cs="Times New Roman"/>
          <w:sz w:val="24"/>
          <w:szCs w:val="24"/>
        </w:rPr>
        <w:t xml:space="preserve"> (Panel B)</w:t>
      </w:r>
      <w:r w:rsidR="00ED117E" w:rsidRPr="008B39E1">
        <w:rPr>
          <w:rFonts w:ascii="Times New Roman" w:hAnsi="Times New Roman" w:cs="Times New Roman"/>
          <w:sz w:val="24"/>
          <w:szCs w:val="24"/>
        </w:rPr>
        <w:t xml:space="preserve"> and rerun our analyses in </w:t>
      </w:r>
      <w:r w:rsidR="00DC55B9" w:rsidRPr="008B39E1">
        <w:rPr>
          <w:rFonts w:ascii="Times New Roman" w:hAnsi="Times New Roman" w:cs="Times New Roman"/>
          <w:sz w:val="24"/>
          <w:szCs w:val="24"/>
        </w:rPr>
        <w:t>Table V</w:t>
      </w:r>
      <w:r w:rsidR="00ED117E" w:rsidRPr="008B39E1">
        <w:rPr>
          <w:rFonts w:ascii="Times New Roman" w:hAnsi="Times New Roman" w:cs="Times New Roman"/>
          <w:sz w:val="24"/>
          <w:szCs w:val="24"/>
        </w:rPr>
        <w:t>.</w:t>
      </w:r>
      <w:r w:rsidR="00CC6784" w:rsidRPr="008B39E1">
        <w:rPr>
          <w:rFonts w:ascii="Times New Roman" w:hAnsi="Times New Roman" w:cs="Times New Roman"/>
          <w:sz w:val="24"/>
          <w:szCs w:val="24"/>
        </w:rPr>
        <w:t xml:space="preserve"> </w:t>
      </w:r>
      <w:r w:rsidR="00C60CB0" w:rsidRPr="008B39E1">
        <w:rPr>
          <w:rFonts w:ascii="Times New Roman" w:hAnsi="Times New Roman" w:cs="Times New Roman"/>
          <w:sz w:val="24"/>
          <w:szCs w:val="24"/>
        </w:rPr>
        <w:t xml:space="preserve">Relocations of 50 miles </w:t>
      </w:r>
      <w:r w:rsidR="00E14FC6" w:rsidRPr="008B39E1">
        <w:rPr>
          <w:rFonts w:ascii="Times New Roman" w:hAnsi="Times New Roman" w:cs="Times New Roman"/>
          <w:sz w:val="24"/>
          <w:szCs w:val="24"/>
        </w:rPr>
        <w:t xml:space="preserve">or more </w:t>
      </w:r>
      <w:r w:rsidR="00197365" w:rsidRPr="008B39E1">
        <w:rPr>
          <w:rFonts w:ascii="Times New Roman" w:hAnsi="Times New Roman" w:cs="Times New Roman"/>
          <w:sz w:val="24"/>
          <w:szCs w:val="24"/>
        </w:rPr>
        <w:t xml:space="preserve">are long distance relocations which can exacerbate the effect of social change on internal control effectiveness as </w:t>
      </w:r>
      <w:r w:rsidR="00FC1044" w:rsidRPr="008B39E1">
        <w:rPr>
          <w:rFonts w:ascii="Times New Roman" w:hAnsi="Times New Roman" w:cs="Times New Roman"/>
          <w:sz w:val="24"/>
          <w:szCs w:val="24"/>
        </w:rPr>
        <w:t xml:space="preserve">fewer employees may be willing to move. Relocations less than 50 miles </w:t>
      </w:r>
      <w:r w:rsidR="00DB6183" w:rsidRPr="008B39E1">
        <w:rPr>
          <w:rFonts w:ascii="Times New Roman" w:hAnsi="Times New Roman" w:cs="Times New Roman"/>
          <w:sz w:val="24"/>
          <w:szCs w:val="24"/>
        </w:rPr>
        <w:t xml:space="preserve">are </w:t>
      </w:r>
      <w:r w:rsidR="008E2A13" w:rsidRPr="008B39E1">
        <w:rPr>
          <w:rFonts w:ascii="Times New Roman" w:hAnsi="Times New Roman" w:cs="Times New Roman"/>
          <w:sz w:val="24"/>
          <w:szCs w:val="24"/>
        </w:rPr>
        <w:t xml:space="preserve">likely to be within employees’ commuting distances. </w:t>
      </w:r>
      <w:r w:rsidR="00E94603" w:rsidRPr="008B39E1">
        <w:rPr>
          <w:rFonts w:ascii="Times New Roman" w:hAnsi="Times New Roman" w:cs="Times New Roman"/>
          <w:sz w:val="24"/>
          <w:szCs w:val="24"/>
        </w:rPr>
        <w:t>In Panel A, we find that none of our variables of interest are significant.</w:t>
      </w:r>
      <w:r w:rsidR="00A8493A" w:rsidRPr="008B39E1">
        <w:rPr>
          <w:rFonts w:ascii="Times New Roman" w:hAnsi="Times New Roman" w:cs="Times New Roman"/>
          <w:sz w:val="24"/>
          <w:szCs w:val="24"/>
        </w:rPr>
        <w:t xml:space="preserve"> This is unsurprising since </w:t>
      </w:r>
      <w:r w:rsidR="00E4708E" w:rsidRPr="008B39E1">
        <w:rPr>
          <w:rFonts w:ascii="Times New Roman" w:hAnsi="Times New Roman" w:cs="Times New Roman"/>
          <w:sz w:val="24"/>
          <w:szCs w:val="24"/>
        </w:rPr>
        <w:t>firms could be relocating a short distance within the same county t</w:t>
      </w:r>
      <w:r w:rsidR="00E61E17" w:rsidRPr="008B39E1">
        <w:rPr>
          <w:rFonts w:ascii="Times New Roman" w:hAnsi="Times New Roman" w:cs="Times New Roman"/>
          <w:sz w:val="24"/>
          <w:szCs w:val="24"/>
        </w:rPr>
        <w:t>hat</w:t>
      </w:r>
      <w:r w:rsidR="00E4708E" w:rsidRPr="008B39E1">
        <w:rPr>
          <w:rFonts w:ascii="Times New Roman" w:hAnsi="Times New Roman" w:cs="Times New Roman"/>
          <w:sz w:val="24"/>
          <w:szCs w:val="24"/>
        </w:rPr>
        <w:t xml:space="preserve"> </w:t>
      </w:r>
      <w:r w:rsidR="00FF015A" w:rsidRPr="008B39E1">
        <w:rPr>
          <w:rFonts w:ascii="Times New Roman" w:hAnsi="Times New Roman" w:cs="Times New Roman"/>
          <w:sz w:val="24"/>
          <w:szCs w:val="24"/>
        </w:rPr>
        <w:t>results</w:t>
      </w:r>
      <w:r w:rsidR="00E4708E" w:rsidRPr="008B39E1">
        <w:rPr>
          <w:rFonts w:ascii="Times New Roman" w:hAnsi="Times New Roman" w:cs="Times New Roman"/>
          <w:sz w:val="24"/>
          <w:szCs w:val="24"/>
        </w:rPr>
        <w:t xml:space="preserve"> in no social capital change.</w:t>
      </w:r>
      <w:r w:rsidR="00E94603" w:rsidRPr="008B39E1">
        <w:rPr>
          <w:rFonts w:ascii="Times New Roman" w:hAnsi="Times New Roman" w:cs="Times New Roman"/>
          <w:sz w:val="24"/>
          <w:szCs w:val="24"/>
        </w:rPr>
        <w:t xml:space="preserve"> </w:t>
      </w:r>
      <w:r w:rsidR="00492A94" w:rsidRPr="008B39E1">
        <w:rPr>
          <w:rFonts w:ascii="Times New Roman" w:hAnsi="Times New Roman" w:cs="Times New Roman"/>
          <w:sz w:val="24"/>
          <w:szCs w:val="24"/>
        </w:rPr>
        <w:t xml:space="preserve">However, we </w:t>
      </w:r>
      <w:r w:rsidR="00E12776" w:rsidRPr="008B39E1">
        <w:rPr>
          <w:rFonts w:ascii="Times New Roman" w:hAnsi="Times New Roman" w:cs="Times New Roman"/>
          <w:sz w:val="24"/>
          <w:szCs w:val="24"/>
        </w:rPr>
        <w:t>find positive and significant results in Panel B across our various measures of social capital changes</w:t>
      </w:r>
      <w:r w:rsidR="0081161F" w:rsidRPr="008B39E1">
        <w:rPr>
          <w:rFonts w:ascii="Times New Roman" w:hAnsi="Times New Roman" w:cs="Times New Roman"/>
          <w:sz w:val="24"/>
          <w:szCs w:val="24"/>
        </w:rPr>
        <w:t xml:space="preserve">, which indicate that larger relocation distances </w:t>
      </w:r>
      <w:r w:rsidR="004760B0" w:rsidRPr="008B39E1">
        <w:rPr>
          <w:rFonts w:ascii="Times New Roman" w:hAnsi="Times New Roman" w:cs="Times New Roman"/>
          <w:sz w:val="24"/>
          <w:szCs w:val="24"/>
        </w:rPr>
        <w:t xml:space="preserve">are associated with internal control ineffectiveness when coupled with social capital changes. </w:t>
      </w:r>
    </w:p>
    <w:p w14:paraId="6ADA803A" w14:textId="1D2E348C" w:rsidR="00452505" w:rsidRPr="008B39E1" w:rsidRDefault="00BF0BD5" w:rsidP="00981B19">
      <w:pPr>
        <w:spacing w:after="0" w:line="480" w:lineRule="auto"/>
        <w:jc w:val="center"/>
        <w:rPr>
          <w:rFonts w:ascii="Times New Roman" w:hAnsi="Times New Roman" w:cs="Times New Roman"/>
          <w:sz w:val="24"/>
          <w:szCs w:val="24"/>
        </w:rPr>
      </w:pPr>
      <w:r w:rsidRPr="008B39E1">
        <w:rPr>
          <w:rFonts w:ascii="Times New Roman" w:hAnsi="Times New Roman" w:cs="Times New Roman"/>
          <w:b/>
          <w:bCs/>
          <w:sz w:val="24"/>
          <w:szCs w:val="24"/>
        </w:rPr>
        <w:t>V</w:t>
      </w:r>
      <w:r w:rsidR="00CB2DF9" w:rsidRPr="008B39E1">
        <w:rPr>
          <w:rFonts w:ascii="Times New Roman" w:hAnsi="Times New Roman" w:cs="Times New Roman"/>
          <w:b/>
          <w:bCs/>
          <w:sz w:val="24"/>
          <w:szCs w:val="24"/>
        </w:rPr>
        <w:t>I</w:t>
      </w:r>
      <w:r w:rsidRPr="008B39E1">
        <w:rPr>
          <w:rFonts w:ascii="Times New Roman" w:hAnsi="Times New Roman" w:cs="Times New Roman"/>
          <w:b/>
          <w:bCs/>
          <w:sz w:val="24"/>
          <w:szCs w:val="24"/>
        </w:rPr>
        <w:t>. Conclusion</w:t>
      </w:r>
      <w:r w:rsidR="00321A3C" w:rsidRPr="008B39E1">
        <w:rPr>
          <w:rFonts w:ascii="Times New Roman" w:hAnsi="Times New Roman" w:cs="Times New Roman"/>
          <w:b/>
          <w:bCs/>
          <w:sz w:val="24"/>
          <w:szCs w:val="24"/>
        </w:rPr>
        <w:t>s</w:t>
      </w:r>
    </w:p>
    <w:p w14:paraId="122C2697" w14:textId="06C6663C" w:rsidR="00242372" w:rsidRPr="008B39E1" w:rsidRDefault="00492A94"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We</w:t>
      </w:r>
      <w:r w:rsidR="00242372" w:rsidRPr="008B39E1">
        <w:rPr>
          <w:rFonts w:ascii="Times New Roman" w:hAnsi="Times New Roman" w:cs="Times New Roman"/>
          <w:sz w:val="24"/>
          <w:szCs w:val="24"/>
        </w:rPr>
        <w:t xml:space="preserve"> present evidence that </w:t>
      </w:r>
      <w:r w:rsidR="002D441A" w:rsidRPr="008B39E1">
        <w:rPr>
          <w:rFonts w:ascii="Times New Roman" w:hAnsi="Times New Roman" w:cs="Times New Roman"/>
          <w:sz w:val="24"/>
          <w:szCs w:val="24"/>
        </w:rPr>
        <w:t xml:space="preserve">firm headquarters relocation negatively impacts the firm’s internal control quality in the </w:t>
      </w:r>
      <w:r w:rsidR="008619DC" w:rsidRPr="008B39E1">
        <w:rPr>
          <w:rFonts w:ascii="Times New Roman" w:hAnsi="Times New Roman" w:cs="Times New Roman"/>
          <w:sz w:val="24"/>
          <w:szCs w:val="24"/>
        </w:rPr>
        <w:t xml:space="preserve">year </w:t>
      </w:r>
      <w:r w:rsidR="002D441A" w:rsidRPr="008B39E1">
        <w:rPr>
          <w:rFonts w:ascii="Times New Roman" w:hAnsi="Times New Roman" w:cs="Times New Roman"/>
          <w:sz w:val="24"/>
          <w:szCs w:val="24"/>
        </w:rPr>
        <w:t xml:space="preserve">following relocation, possibly reflecting </w:t>
      </w:r>
      <w:r w:rsidR="0081441C" w:rsidRPr="008B39E1">
        <w:rPr>
          <w:rFonts w:ascii="Times New Roman" w:hAnsi="Times New Roman" w:cs="Times New Roman"/>
          <w:sz w:val="24"/>
          <w:szCs w:val="24"/>
        </w:rPr>
        <w:t>disruptions</w:t>
      </w:r>
      <w:r w:rsidR="001E6D44" w:rsidRPr="008B39E1">
        <w:rPr>
          <w:rFonts w:ascii="Times New Roman" w:hAnsi="Times New Roman" w:cs="Times New Roman"/>
          <w:sz w:val="24"/>
          <w:szCs w:val="24"/>
        </w:rPr>
        <w:t xml:space="preserve"> to employees’ psychosocial environments</w:t>
      </w:r>
      <w:r w:rsidR="00242372" w:rsidRPr="008B39E1">
        <w:rPr>
          <w:rFonts w:ascii="Times New Roman" w:hAnsi="Times New Roman" w:cs="Times New Roman"/>
          <w:sz w:val="24"/>
          <w:szCs w:val="24"/>
        </w:rPr>
        <w:t xml:space="preserve">. We measure the disruption as the </w:t>
      </w:r>
      <w:r w:rsidR="002D272C" w:rsidRPr="008B39E1">
        <w:rPr>
          <w:rFonts w:ascii="Times New Roman" w:hAnsi="Times New Roman" w:cs="Times New Roman"/>
          <w:sz w:val="24"/>
          <w:szCs w:val="24"/>
        </w:rPr>
        <w:t xml:space="preserve">absolute </w:t>
      </w:r>
      <w:r w:rsidR="00AA3504" w:rsidRPr="008B39E1">
        <w:rPr>
          <w:rFonts w:ascii="Times New Roman" w:hAnsi="Times New Roman" w:cs="Times New Roman"/>
          <w:sz w:val="24"/>
          <w:szCs w:val="24"/>
        </w:rPr>
        <w:t xml:space="preserve">change </w:t>
      </w:r>
      <w:r w:rsidR="00242372" w:rsidRPr="008B39E1">
        <w:rPr>
          <w:rFonts w:ascii="Times New Roman" w:hAnsi="Times New Roman" w:cs="Times New Roman"/>
          <w:sz w:val="24"/>
          <w:szCs w:val="24"/>
        </w:rPr>
        <w:t>in social capital</w:t>
      </w:r>
      <w:r w:rsidR="002D272C" w:rsidRPr="008B39E1">
        <w:rPr>
          <w:rFonts w:ascii="Times New Roman" w:hAnsi="Times New Roman" w:cs="Times New Roman"/>
          <w:sz w:val="24"/>
          <w:szCs w:val="24"/>
        </w:rPr>
        <w:t xml:space="preserve"> between the old and new locations</w:t>
      </w:r>
      <w:r w:rsidR="00242372" w:rsidRPr="008B39E1">
        <w:rPr>
          <w:rFonts w:ascii="Times New Roman" w:hAnsi="Times New Roman" w:cs="Times New Roman"/>
          <w:sz w:val="24"/>
          <w:szCs w:val="24"/>
        </w:rPr>
        <w:t>. Negative effects on internal control</w:t>
      </w:r>
      <w:r w:rsidR="000D3C85" w:rsidRPr="008B39E1">
        <w:rPr>
          <w:rFonts w:ascii="Times New Roman" w:hAnsi="Times New Roman" w:cs="Times New Roman"/>
          <w:sz w:val="24"/>
          <w:szCs w:val="24"/>
        </w:rPr>
        <w:t xml:space="preserve"> effectiveness</w:t>
      </w:r>
      <w:r w:rsidR="00242372" w:rsidRPr="008B39E1">
        <w:rPr>
          <w:rFonts w:ascii="Times New Roman" w:hAnsi="Times New Roman" w:cs="Times New Roman"/>
          <w:sz w:val="24"/>
          <w:szCs w:val="24"/>
        </w:rPr>
        <w:t xml:space="preserve"> are proxied by the presence of reported </w:t>
      </w:r>
      <w:r w:rsidR="0038623A" w:rsidRPr="008B39E1">
        <w:rPr>
          <w:rFonts w:ascii="Times New Roman" w:hAnsi="Times New Roman" w:cs="Times New Roman"/>
          <w:sz w:val="24"/>
          <w:szCs w:val="24"/>
        </w:rPr>
        <w:t xml:space="preserve">SOX 404 </w:t>
      </w:r>
      <w:r w:rsidR="00DB6E83" w:rsidRPr="008B39E1">
        <w:rPr>
          <w:rFonts w:ascii="Times New Roman" w:hAnsi="Times New Roman" w:cs="Times New Roman"/>
          <w:sz w:val="24"/>
          <w:szCs w:val="24"/>
        </w:rPr>
        <w:t xml:space="preserve">internal control material weaknesses </w:t>
      </w:r>
      <w:r w:rsidR="00242372" w:rsidRPr="008B39E1">
        <w:rPr>
          <w:rFonts w:ascii="Times New Roman" w:hAnsi="Times New Roman" w:cs="Times New Roman"/>
          <w:sz w:val="24"/>
          <w:szCs w:val="24"/>
        </w:rPr>
        <w:t xml:space="preserve">in the period after relocation. Specifically, we find that more disruptive relocations are associated with higher likelihoods of </w:t>
      </w:r>
      <w:r w:rsidR="00F63DB1" w:rsidRPr="008B39E1">
        <w:rPr>
          <w:rFonts w:ascii="Times New Roman" w:hAnsi="Times New Roman" w:cs="Times New Roman"/>
          <w:sz w:val="24"/>
          <w:szCs w:val="24"/>
        </w:rPr>
        <w:t>internal control ineffectiveness</w:t>
      </w:r>
      <w:r w:rsidR="00242372" w:rsidRPr="008B39E1">
        <w:rPr>
          <w:rFonts w:ascii="Times New Roman" w:hAnsi="Times New Roman" w:cs="Times New Roman"/>
          <w:sz w:val="24"/>
          <w:szCs w:val="24"/>
        </w:rPr>
        <w:t xml:space="preserve">. </w:t>
      </w:r>
      <w:r w:rsidR="000E6BC6" w:rsidRPr="008B39E1">
        <w:rPr>
          <w:rFonts w:ascii="Times New Roman" w:hAnsi="Times New Roman" w:cs="Times New Roman"/>
          <w:sz w:val="24"/>
          <w:szCs w:val="24"/>
        </w:rPr>
        <w:t xml:space="preserve">We also find that </w:t>
      </w:r>
      <w:r w:rsidR="00743094" w:rsidRPr="008B39E1">
        <w:rPr>
          <w:rFonts w:ascii="Times New Roman" w:hAnsi="Times New Roman" w:cs="Times New Roman"/>
          <w:sz w:val="24"/>
          <w:szCs w:val="24"/>
        </w:rPr>
        <w:lastRenderedPageBreak/>
        <w:t xml:space="preserve">internal controls dependent on employee </w:t>
      </w:r>
      <w:r w:rsidR="00DE225A" w:rsidRPr="008B39E1">
        <w:rPr>
          <w:rFonts w:ascii="Times New Roman" w:hAnsi="Times New Roman" w:cs="Times New Roman"/>
          <w:sz w:val="24"/>
          <w:szCs w:val="24"/>
        </w:rPr>
        <w:t>experience</w:t>
      </w:r>
      <w:r w:rsidR="00743094" w:rsidRPr="008B39E1">
        <w:rPr>
          <w:rFonts w:ascii="Times New Roman" w:hAnsi="Times New Roman" w:cs="Times New Roman"/>
          <w:sz w:val="24"/>
          <w:szCs w:val="24"/>
        </w:rPr>
        <w:t xml:space="preserve"> are particularly vulnerable to </w:t>
      </w:r>
      <w:r w:rsidR="007749D0" w:rsidRPr="008B39E1">
        <w:rPr>
          <w:rFonts w:ascii="Times New Roman" w:hAnsi="Times New Roman" w:cs="Times New Roman"/>
          <w:sz w:val="24"/>
          <w:szCs w:val="24"/>
        </w:rPr>
        <w:t xml:space="preserve">the disruptive effects of relocations. </w:t>
      </w:r>
    </w:p>
    <w:p w14:paraId="0878DA15" w14:textId="5C44525C" w:rsidR="00EF0C0E" w:rsidRPr="008B39E1" w:rsidRDefault="00242372" w:rsidP="00981B19">
      <w:pPr>
        <w:spacing w:after="0" w:line="480" w:lineRule="auto"/>
        <w:ind w:firstLine="720"/>
        <w:rPr>
          <w:rFonts w:ascii="Times New Roman" w:hAnsi="Times New Roman" w:cs="Times New Roman"/>
          <w:sz w:val="24"/>
          <w:szCs w:val="24"/>
        </w:rPr>
      </w:pPr>
      <w:r w:rsidRPr="008B39E1">
        <w:rPr>
          <w:rFonts w:ascii="Times New Roman" w:hAnsi="Times New Roman" w:cs="Times New Roman"/>
          <w:sz w:val="24"/>
          <w:szCs w:val="24"/>
        </w:rPr>
        <w:t xml:space="preserve">Our study contributes to the </w:t>
      </w:r>
      <w:r w:rsidR="002B134C" w:rsidRPr="008B39E1">
        <w:rPr>
          <w:rFonts w:ascii="Times New Roman" w:hAnsi="Times New Roman" w:cs="Times New Roman"/>
          <w:sz w:val="24"/>
          <w:szCs w:val="24"/>
        </w:rPr>
        <w:t>limited but growing</w:t>
      </w:r>
      <w:r w:rsidRPr="008B39E1">
        <w:rPr>
          <w:rFonts w:ascii="Times New Roman" w:hAnsi="Times New Roman" w:cs="Times New Roman"/>
          <w:sz w:val="24"/>
          <w:szCs w:val="24"/>
        </w:rPr>
        <w:t xml:space="preserve"> literature on employee</w:t>
      </w:r>
      <w:r w:rsidR="002B134C" w:rsidRPr="008B39E1">
        <w:rPr>
          <w:rFonts w:ascii="Times New Roman" w:hAnsi="Times New Roman" w:cs="Times New Roman"/>
          <w:sz w:val="24"/>
          <w:szCs w:val="24"/>
        </w:rPr>
        <w:t xml:space="preserve"> disruptions and the relation to internal control quality</w:t>
      </w:r>
      <w:r w:rsidR="001A5A61" w:rsidRPr="008B39E1">
        <w:rPr>
          <w:rFonts w:ascii="Times New Roman" w:hAnsi="Times New Roman" w:cs="Times New Roman"/>
          <w:sz w:val="24"/>
          <w:szCs w:val="24"/>
        </w:rPr>
        <w:t>.</w:t>
      </w:r>
      <w:r w:rsidR="00DE225A" w:rsidRPr="008B39E1">
        <w:rPr>
          <w:rFonts w:ascii="Times New Roman" w:hAnsi="Times New Roman" w:cs="Times New Roman"/>
          <w:sz w:val="24"/>
          <w:szCs w:val="24"/>
        </w:rPr>
        <w:t xml:space="preserve"> We </w:t>
      </w:r>
      <w:r w:rsidR="00821F22" w:rsidRPr="008B39E1">
        <w:rPr>
          <w:rFonts w:ascii="Times New Roman" w:hAnsi="Times New Roman" w:cs="Times New Roman"/>
          <w:sz w:val="24"/>
          <w:szCs w:val="24"/>
        </w:rPr>
        <w:t xml:space="preserve">demonstrate the importance of </w:t>
      </w:r>
      <w:r w:rsidR="00E301C9" w:rsidRPr="008B39E1">
        <w:rPr>
          <w:rFonts w:ascii="Times New Roman" w:hAnsi="Times New Roman" w:cs="Times New Roman"/>
          <w:sz w:val="24"/>
          <w:szCs w:val="24"/>
        </w:rPr>
        <w:t xml:space="preserve">social capital on </w:t>
      </w:r>
      <w:r w:rsidR="00CB54B5" w:rsidRPr="008B39E1">
        <w:rPr>
          <w:rFonts w:ascii="Times New Roman" w:hAnsi="Times New Roman" w:cs="Times New Roman"/>
          <w:sz w:val="24"/>
          <w:szCs w:val="24"/>
        </w:rPr>
        <w:t>corporate internal control functions.</w:t>
      </w:r>
      <w:r w:rsidR="001A5A61" w:rsidRPr="008B39E1">
        <w:rPr>
          <w:rFonts w:ascii="Times New Roman" w:hAnsi="Times New Roman" w:cs="Times New Roman"/>
          <w:sz w:val="24"/>
          <w:szCs w:val="24"/>
        </w:rPr>
        <w:t xml:space="preserve"> </w:t>
      </w:r>
      <w:r w:rsidR="008C6881" w:rsidRPr="008B39E1">
        <w:rPr>
          <w:rFonts w:ascii="Times New Roman" w:hAnsi="Times New Roman" w:cs="Times New Roman"/>
          <w:sz w:val="24"/>
          <w:szCs w:val="24"/>
        </w:rPr>
        <w:t>Our</w:t>
      </w:r>
      <w:r w:rsidR="00CE380F" w:rsidRPr="008B39E1">
        <w:rPr>
          <w:rFonts w:ascii="Times New Roman" w:hAnsi="Times New Roman" w:cs="Times New Roman"/>
          <w:sz w:val="24"/>
          <w:szCs w:val="24"/>
        </w:rPr>
        <w:t xml:space="preserve"> </w:t>
      </w:r>
      <w:r w:rsidR="0003312D" w:rsidRPr="008B39E1">
        <w:rPr>
          <w:rFonts w:ascii="Times New Roman" w:hAnsi="Times New Roman" w:cs="Times New Roman"/>
          <w:sz w:val="24"/>
          <w:szCs w:val="24"/>
        </w:rPr>
        <w:t xml:space="preserve">evidence </w:t>
      </w:r>
      <w:r w:rsidR="008C6881" w:rsidRPr="008B39E1">
        <w:rPr>
          <w:rFonts w:ascii="Times New Roman" w:hAnsi="Times New Roman" w:cs="Times New Roman"/>
          <w:sz w:val="24"/>
          <w:szCs w:val="24"/>
        </w:rPr>
        <w:t xml:space="preserve">also </w:t>
      </w:r>
      <w:r w:rsidR="0003312D" w:rsidRPr="008B39E1">
        <w:rPr>
          <w:rFonts w:ascii="Times New Roman" w:hAnsi="Times New Roman" w:cs="Times New Roman"/>
          <w:sz w:val="24"/>
          <w:szCs w:val="24"/>
        </w:rPr>
        <w:t>support</w:t>
      </w:r>
      <w:r w:rsidR="008C6881" w:rsidRPr="008B39E1">
        <w:rPr>
          <w:rFonts w:ascii="Times New Roman" w:hAnsi="Times New Roman" w:cs="Times New Roman"/>
          <w:sz w:val="24"/>
          <w:szCs w:val="24"/>
        </w:rPr>
        <w:t>s</w:t>
      </w:r>
      <w:r w:rsidR="00460048" w:rsidRPr="008B39E1">
        <w:rPr>
          <w:rFonts w:ascii="Times New Roman" w:hAnsi="Times New Roman" w:cs="Times New Roman"/>
          <w:sz w:val="24"/>
          <w:szCs w:val="24"/>
        </w:rPr>
        <w:t xml:space="preserve"> recent policy changes requiring firms to disclose material employee events</w:t>
      </w:r>
      <w:r w:rsidR="0003312D" w:rsidRPr="008B39E1">
        <w:rPr>
          <w:rFonts w:ascii="Times New Roman" w:hAnsi="Times New Roman" w:cs="Times New Roman"/>
          <w:sz w:val="24"/>
          <w:szCs w:val="24"/>
        </w:rPr>
        <w:t>.</w:t>
      </w:r>
      <w:r w:rsidRPr="008B39E1">
        <w:rPr>
          <w:rFonts w:ascii="Times New Roman" w:hAnsi="Times New Roman" w:cs="Times New Roman"/>
          <w:sz w:val="24"/>
          <w:szCs w:val="24"/>
        </w:rPr>
        <w:t xml:space="preserve"> </w:t>
      </w:r>
      <w:r w:rsidR="008269FD" w:rsidRPr="008B39E1">
        <w:rPr>
          <w:rFonts w:ascii="Times New Roman" w:hAnsi="Times New Roman" w:cs="Times New Roman"/>
          <w:sz w:val="24"/>
          <w:szCs w:val="24"/>
        </w:rPr>
        <w:t xml:space="preserve">Given recent events and firms contemplating return-to-office policies, </w:t>
      </w:r>
      <w:r w:rsidR="00514591" w:rsidRPr="008B39E1">
        <w:rPr>
          <w:rFonts w:ascii="Times New Roman" w:hAnsi="Times New Roman" w:cs="Times New Roman"/>
          <w:sz w:val="24"/>
          <w:szCs w:val="24"/>
        </w:rPr>
        <w:t>o</w:t>
      </w:r>
      <w:r w:rsidRPr="008B39E1">
        <w:rPr>
          <w:rFonts w:ascii="Times New Roman" w:hAnsi="Times New Roman" w:cs="Times New Roman"/>
          <w:sz w:val="24"/>
          <w:szCs w:val="24"/>
        </w:rPr>
        <w:t xml:space="preserve">ur results </w:t>
      </w:r>
      <w:r w:rsidR="00514591" w:rsidRPr="008B39E1">
        <w:rPr>
          <w:rFonts w:ascii="Times New Roman" w:hAnsi="Times New Roman" w:cs="Times New Roman"/>
          <w:sz w:val="24"/>
          <w:szCs w:val="24"/>
        </w:rPr>
        <w:t>show that</w:t>
      </w:r>
      <w:r w:rsidRPr="008B39E1">
        <w:rPr>
          <w:rFonts w:ascii="Times New Roman" w:hAnsi="Times New Roman" w:cs="Times New Roman"/>
          <w:sz w:val="24"/>
          <w:szCs w:val="24"/>
        </w:rPr>
        <w:t xml:space="preserve"> headquarters relocation</w:t>
      </w:r>
      <w:r w:rsidR="00514591" w:rsidRPr="008B39E1">
        <w:rPr>
          <w:rFonts w:ascii="Times New Roman" w:hAnsi="Times New Roman" w:cs="Times New Roman"/>
          <w:sz w:val="24"/>
          <w:szCs w:val="24"/>
        </w:rPr>
        <w:t xml:space="preserve">s can worsen the problem </w:t>
      </w:r>
      <w:r w:rsidR="00514591" w:rsidRPr="008B39E1">
        <w:rPr>
          <w:rFonts w:ascii="Times New Roman" w:hAnsi="Times New Roman" w:cs="Times New Roman"/>
          <w:sz w:val="24"/>
          <w:szCs w:val="24"/>
        </w:rPr>
        <w:fldChar w:fldCharType="begin" w:fldLock="1"/>
      </w:r>
      <w:r w:rsidR="001C3D9B" w:rsidRPr="008B39E1">
        <w:rPr>
          <w:rFonts w:ascii="Times New Roman" w:hAnsi="Times New Roman" w:cs="Times New Roman"/>
          <w:sz w:val="24"/>
          <w:szCs w:val="24"/>
        </w:rPr>
        <w:instrText>ADDIN CSL_CITATION {"citationItems":[{"id":"ITEM-1","itemData":{"URL":"https://www.armstrongrelocation.com/2022/04/28/why-employers-should-rethink-their-corporate-relocation-policies/","author":[{"dropping-particle":"","family":"Armstrong Relocation &amp; Companies","given":"","non-dropping-particle":"","parse-names":false,"suffix":""}],"id":"ITEM-1","issued":{"date-parts":[["2022"]]},"title":"Why Employers Should Retink Their Corporate Relocation Policies","type":"webpage"},"uris":["http://www.mendeley.com/documents/?uuid=bdd8ff6b-4039-45f9-9817-9aaa2e6b7b48"]}],"mendeley":{"formattedCitation":"(Armstrong Relocation &amp; Companies 2022)","plainTextFormattedCitation":"(Armstrong Relocation &amp; Companies 2022)","previouslyFormattedCitation":"(Armstrong Relocation &amp; Companies 2022)"},"properties":{"noteIndex":0},"schema":"https://github.com/citation-style-language/schema/raw/master/csl-citation.json"}</w:instrText>
      </w:r>
      <w:r w:rsidR="00514591" w:rsidRPr="008B39E1">
        <w:rPr>
          <w:rFonts w:ascii="Times New Roman" w:hAnsi="Times New Roman" w:cs="Times New Roman"/>
          <w:sz w:val="24"/>
          <w:szCs w:val="24"/>
        </w:rPr>
        <w:fldChar w:fldCharType="separate"/>
      </w:r>
      <w:r w:rsidR="00514591" w:rsidRPr="008B39E1">
        <w:rPr>
          <w:rFonts w:ascii="Times New Roman" w:hAnsi="Times New Roman" w:cs="Times New Roman"/>
          <w:noProof/>
          <w:sz w:val="24"/>
          <w:szCs w:val="24"/>
        </w:rPr>
        <w:t>(Armstrong Relocation &amp; Companies</w:t>
      </w:r>
      <w:r w:rsidR="007E7DD3" w:rsidRPr="008B39E1">
        <w:rPr>
          <w:rFonts w:ascii="Times New Roman" w:hAnsi="Times New Roman" w:cs="Times New Roman"/>
          <w:noProof/>
          <w:sz w:val="24"/>
          <w:szCs w:val="24"/>
        </w:rPr>
        <w:t>,</w:t>
      </w:r>
      <w:r w:rsidR="00514591" w:rsidRPr="008B39E1">
        <w:rPr>
          <w:rFonts w:ascii="Times New Roman" w:hAnsi="Times New Roman" w:cs="Times New Roman"/>
          <w:noProof/>
          <w:sz w:val="24"/>
          <w:szCs w:val="24"/>
        </w:rPr>
        <w:t xml:space="preserve"> 2022)</w:t>
      </w:r>
      <w:r w:rsidR="00514591" w:rsidRPr="008B39E1">
        <w:rPr>
          <w:rFonts w:ascii="Times New Roman" w:hAnsi="Times New Roman" w:cs="Times New Roman"/>
          <w:sz w:val="24"/>
          <w:szCs w:val="24"/>
        </w:rPr>
        <w:fldChar w:fldCharType="end"/>
      </w:r>
      <w:r w:rsidR="007564FE" w:rsidRPr="008B39E1">
        <w:rPr>
          <w:rFonts w:ascii="Times New Roman" w:hAnsi="Times New Roman" w:cs="Times New Roman"/>
          <w:sz w:val="24"/>
          <w:szCs w:val="24"/>
        </w:rPr>
        <w:t>.</w:t>
      </w:r>
      <w:r w:rsidR="00DA62A9" w:rsidRPr="008B39E1">
        <w:rPr>
          <w:rFonts w:ascii="Times New Roman" w:hAnsi="Times New Roman" w:cs="Times New Roman"/>
          <w:sz w:val="24"/>
          <w:szCs w:val="24"/>
        </w:rPr>
        <w:t xml:space="preserve"> For firms </w:t>
      </w:r>
      <w:r w:rsidR="00B90DBE" w:rsidRPr="008B39E1">
        <w:rPr>
          <w:rFonts w:ascii="Times New Roman" w:hAnsi="Times New Roman" w:cs="Times New Roman"/>
          <w:sz w:val="24"/>
          <w:szCs w:val="24"/>
        </w:rPr>
        <w:t xml:space="preserve">planning a relocation, </w:t>
      </w:r>
      <w:r w:rsidR="00BF657B" w:rsidRPr="008B39E1">
        <w:rPr>
          <w:rFonts w:ascii="Times New Roman" w:hAnsi="Times New Roman" w:cs="Times New Roman"/>
          <w:sz w:val="24"/>
          <w:szCs w:val="24"/>
        </w:rPr>
        <w:t xml:space="preserve">it is important to mitigate </w:t>
      </w:r>
      <w:r w:rsidR="00287807" w:rsidRPr="008B39E1">
        <w:rPr>
          <w:rFonts w:ascii="Times New Roman" w:hAnsi="Times New Roman" w:cs="Times New Roman"/>
          <w:sz w:val="24"/>
          <w:szCs w:val="24"/>
        </w:rPr>
        <w:t>employee disruptions</w:t>
      </w:r>
      <w:r w:rsidR="003F41DA" w:rsidRPr="008B39E1">
        <w:rPr>
          <w:rFonts w:ascii="Times New Roman" w:hAnsi="Times New Roman" w:cs="Times New Roman"/>
          <w:sz w:val="24"/>
          <w:szCs w:val="24"/>
        </w:rPr>
        <w:t xml:space="preserve"> for internal control effectiveness. </w:t>
      </w:r>
    </w:p>
    <w:p w14:paraId="6E0A726F" w14:textId="09D37AD4" w:rsidR="00EF0C0E" w:rsidRPr="008B39E1" w:rsidRDefault="00EF0C0E" w:rsidP="000F0F5A">
      <w:pPr>
        <w:tabs>
          <w:tab w:val="left" w:pos="5730"/>
        </w:tabs>
        <w:spacing w:after="0" w:line="240" w:lineRule="auto"/>
        <w:rPr>
          <w:rFonts w:ascii="Times New Roman" w:hAnsi="Times New Roman" w:cs="Times New Roman"/>
          <w:sz w:val="24"/>
          <w:szCs w:val="24"/>
        </w:rPr>
        <w:sectPr w:rsidR="00EF0C0E" w:rsidRPr="008B39E1" w:rsidSect="007E5BF5">
          <w:footerReference w:type="default" r:id="rId8"/>
          <w:pgSz w:w="12240" w:h="15840"/>
          <w:pgMar w:top="1440" w:right="1440" w:bottom="1440" w:left="1440" w:header="720" w:footer="720" w:gutter="0"/>
          <w:pgNumType w:start="0"/>
          <w:cols w:space="720"/>
          <w:titlePg/>
          <w:docGrid w:linePitch="360"/>
        </w:sectPr>
      </w:pPr>
    </w:p>
    <w:p w14:paraId="678A7273" w14:textId="77777777" w:rsidR="00576C11" w:rsidRDefault="00576C11"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lastRenderedPageBreak/>
        <w:t>REFERENCES</w:t>
      </w:r>
    </w:p>
    <w:p w14:paraId="447B96C3" w14:textId="77777777" w:rsidR="00F82BA1" w:rsidRPr="008B39E1" w:rsidRDefault="00F82BA1" w:rsidP="000F0F5A">
      <w:pPr>
        <w:spacing w:after="0" w:line="240" w:lineRule="auto"/>
        <w:jc w:val="center"/>
        <w:rPr>
          <w:rFonts w:ascii="Times New Roman" w:hAnsi="Times New Roman" w:cs="Times New Roman"/>
          <w:sz w:val="24"/>
          <w:szCs w:val="24"/>
        </w:rPr>
      </w:pPr>
    </w:p>
    <w:sdt>
      <w:sdtPr>
        <w:rPr>
          <w:rFonts w:ascii="Times New Roman" w:eastAsia="Aptos" w:hAnsi="Times New Roman" w:cs="Times New Roman"/>
          <w:color w:val="000000"/>
          <w:kern w:val="2"/>
          <w:sz w:val="24"/>
          <w:szCs w:val="24"/>
          <w14:ligatures w14:val="standardContextual"/>
        </w:rPr>
        <w:tag w:val="MENDELEY_BIBLIOGRAPHY"/>
        <w:id w:val="-71443055"/>
        <w:placeholder>
          <w:docPart w:val="8F8CAF6A5F3C4C59B8E4AA48CB93DFC1"/>
        </w:placeholder>
      </w:sdtPr>
      <w:sdtContent>
        <w:p w14:paraId="5AD8C7C7"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sz w:val="24"/>
              <w:szCs w:val="24"/>
            </w:rPr>
          </w:pPr>
          <w:r w:rsidRPr="00364A85">
            <w:rPr>
              <w:rFonts w:ascii="Times New Roman" w:eastAsia="Times New Roman" w:hAnsi="Times New Roman" w:cs="Times New Roman"/>
              <w:color w:val="000000"/>
              <w:kern w:val="2"/>
              <w:sz w:val="24"/>
              <w:szCs w:val="24"/>
              <w14:ligatures w14:val="standardContextual"/>
            </w:rPr>
            <w:t xml:space="preserve">Adler, P. S., &amp; Kwon, S. W. (2002). Social Capital: Prospects for a New Concept. </w:t>
          </w:r>
          <w:r w:rsidRPr="00364A85">
            <w:rPr>
              <w:rFonts w:ascii="Times New Roman" w:eastAsia="Times New Roman" w:hAnsi="Times New Roman" w:cs="Times New Roman"/>
              <w:i/>
              <w:iCs/>
              <w:color w:val="000000"/>
              <w:kern w:val="2"/>
              <w:sz w:val="24"/>
              <w:szCs w:val="24"/>
              <w14:ligatures w14:val="standardContextual"/>
            </w:rPr>
            <w:t>Academy of Management Review</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27</w:t>
          </w:r>
          <w:r w:rsidRPr="00364A85">
            <w:rPr>
              <w:rFonts w:ascii="Times New Roman" w:eastAsia="Times New Roman" w:hAnsi="Times New Roman" w:cs="Times New Roman"/>
              <w:color w:val="000000"/>
              <w:kern w:val="2"/>
              <w:sz w:val="24"/>
              <w:szCs w:val="24"/>
              <w14:ligatures w14:val="standardContextual"/>
            </w:rPr>
            <w:t>(1), 17–40. https://doi.org/10.5465/AMR.2002.5922314</w:t>
          </w:r>
        </w:p>
        <w:p w14:paraId="49750272"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Armstrong Relocation &amp; Companies. (2022). </w:t>
          </w:r>
          <w:r w:rsidRPr="00364A85">
            <w:rPr>
              <w:rFonts w:ascii="Times New Roman" w:eastAsia="Times New Roman" w:hAnsi="Times New Roman" w:cs="Times New Roman"/>
              <w:i/>
              <w:iCs/>
              <w:color w:val="000000"/>
              <w:kern w:val="2"/>
              <w:sz w:val="24"/>
              <w:szCs w:val="24"/>
              <w14:ligatures w14:val="standardContextual"/>
            </w:rPr>
            <w:t>Why Employers Should Rethink Their Corporate Relocation Policies</w:t>
          </w:r>
          <w:r w:rsidRPr="00364A85">
            <w:rPr>
              <w:rFonts w:ascii="Times New Roman" w:eastAsia="Times New Roman" w:hAnsi="Times New Roman" w:cs="Times New Roman"/>
              <w:color w:val="000000"/>
              <w:kern w:val="2"/>
              <w:sz w:val="24"/>
              <w:szCs w:val="24"/>
              <w14:ligatures w14:val="standardContextual"/>
            </w:rPr>
            <w:t>. https://www.armstrongrelocation.com/2022/04/28/why-employers-should-rethink-their-corporate-relocation-policies/</w:t>
          </w:r>
        </w:p>
        <w:p w14:paraId="28EBB17F"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proofErr w:type="spellStart"/>
          <w:r w:rsidRPr="00364A85">
            <w:rPr>
              <w:rFonts w:ascii="Times New Roman" w:eastAsia="Times New Roman" w:hAnsi="Times New Roman" w:cs="Times New Roman"/>
              <w:color w:val="000000"/>
              <w:kern w:val="2"/>
              <w:sz w:val="24"/>
              <w:szCs w:val="24"/>
              <w14:ligatures w14:val="standardContextual"/>
            </w:rPr>
            <w:t>Barrabi</w:t>
          </w:r>
          <w:proofErr w:type="spellEnd"/>
          <w:r w:rsidRPr="00364A85">
            <w:rPr>
              <w:rFonts w:ascii="Times New Roman" w:eastAsia="Times New Roman" w:hAnsi="Times New Roman" w:cs="Times New Roman"/>
              <w:color w:val="000000"/>
              <w:kern w:val="2"/>
              <w:sz w:val="24"/>
              <w:szCs w:val="24"/>
              <w14:ligatures w14:val="standardContextual"/>
            </w:rPr>
            <w:t xml:space="preserve">, T. (2018, November 30). Corporate HQ Moves: Honeywell, Chipotle and Other Companies that Relocated. </w:t>
          </w:r>
          <w:r w:rsidRPr="00364A85">
            <w:rPr>
              <w:rFonts w:ascii="Times New Roman" w:eastAsia="Times New Roman" w:hAnsi="Times New Roman" w:cs="Times New Roman"/>
              <w:i/>
              <w:iCs/>
              <w:color w:val="000000"/>
              <w:kern w:val="2"/>
              <w:sz w:val="24"/>
              <w:szCs w:val="24"/>
              <w14:ligatures w14:val="standardContextual"/>
            </w:rPr>
            <w:t>Fox Business</w:t>
          </w:r>
          <w:r w:rsidRPr="00364A85">
            <w:rPr>
              <w:rFonts w:ascii="Times New Roman" w:eastAsia="Times New Roman" w:hAnsi="Times New Roman" w:cs="Times New Roman"/>
              <w:color w:val="000000"/>
              <w:kern w:val="2"/>
              <w:sz w:val="24"/>
              <w:szCs w:val="24"/>
              <w14:ligatures w14:val="standardContextual"/>
            </w:rPr>
            <w:t>. https://www.foxbusiness.com/markets/corporate-hq-moves-honeywell-chipotle-and-other-companies-that-relocated</w:t>
          </w:r>
        </w:p>
        <w:p w14:paraId="7505260E"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Bhaskar, L. S., Schroeder, J. H., &amp; Shepardson, M. L. (2019). Integration of Internal Control and Financial Statement Audits: Are Two Audits Better than One? </w:t>
          </w:r>
          <w:r w:rsidRPr="00364A85">
            <w:rPr>
              <w:rFonts w:ascii="Times New Roman" w:eastAsia="Times New Roman" w:hAnsi="Times New Roman" w:cs="Times New Roman"/>
              <w:i/>
              <w:iCs/>
              <w:color w:val="000000"/>
              <w:kern w:val="2"/>
              <w:sz w:val="24"/>
              <w:szCs w:val="24"/>
              <w14:ligatures w14:val="standardContextual"/>
            </w:rPr>
            <w:t>The Accounting Review</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94</w:t>
          </w:r>
          <w:r w:rsidRPr="00364A85">
            <w:rPr>
              <w:rFonts w:ascii="Times New Roman" w:eastAsia="Times New Roman" w:hAnsi="Times New Roman" w:cs="Times New Roman"/>
              <w:color w:val="000000"/>
              <w:kern w:val="2"/>
              <w:sz w:val="24"/>
              <w:szCs w:val="24"/>
              <w14:ligatures w14:val="standardContextual"/>
            </w:rPr>
            <w:t>(2), 53–81. https://doi.org/10.2308/accr-52197</w:t>
          </w:r>
        </w:p>
        <w:p w14:paraId="6191EDE1"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i/>
              <w:iCs/>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Beck, M., </w:t>
          </w:r>
          <w:proofErr w:type="spellStart"/>
          <w:r w:rsidRPr="00364A85">
            <w:rPr>
              <w:rFonts w:ascii="Times New Roman" w:eastAsia="Times New Roman" w:hAnsi="Times New Roman" w:cs="Times New Roman"/>
              <w:color w:val="000000"/>
              <w:kern w:val="2"/>
              <w:sz w:val="24"/>
              <w:szCs w:val="24"/>
              <w14:ligatures w14:val="standardContextual"/>
            </w:rPr>
            <w:t>Czerney</w:t>
          </w:r>
          <w:proofErr w:type="spellEnd"/>
          <w:r w:rsidRPr="00364A85">
            <w:rPr>
              <w:rFonts w:ascii="Times New Roman" w:eastAsia="Times New Roman" w:hAnsi="Times New Roman" w:cs="Times New Roman"/>
              <w:color w:val="000000"/>
              <w:kern w:val="2"/>
              <w:sz w:val="24"/>
              <w:szCs w:val="24"/>
              <w14:ligatures w14:val="standardContextual"/>
            </w:rPr>
            <w:t xml:space="preserve">, K., &amp; Lee, I. (2024). Does Human Capital and Organizational Resource Disruption Adversely Affect Financial Reporting? </w:t>
          </w:r>
          <w:r w:rsidRPr="00364A85">
            <w:rPr>
              <w:rFonts w:ascii="Times New Roman" w:eastAsia="Times New Roman" w:hAnsi="Times New Roman" w:cs="Times New Roman"/>
              <w:i/>
              <w:iCs/>
              <w:color w:val="000000"/>
              <w:kern w:val="2"/>
              <w:sz w:val="24"/>
              <w:szCs w:val="24"/>
              <w14:ligatures w14:val="standardContextual"/>
            </w:rPr>
            <w:t>Working paper.</w:t>
          </w:r>
        </w:p>
        <w:p w14:paraId="365FC840"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Birkinshaw, J., </w:t>
          </w:r>
          <w:proofErr w:type="spellStart"/>
          <w:r w:rsidRPr="00364A85">
            <w:rPr>
              <w:rFonts w:ascii="Times New Roman" w:eastAsia="Times New Roman" w:hAnsi="Times New Roman" w:cs="Times New Roman"/>
              <w:color w:val="000000"/>
              <w:kern w:val="2"/>
              <w:sz w:val="24"/>
              <w:szCs w:val="24"/>
              <w14:ligatures w14:val="standardContextual"/>
            </w:rPr>
            <w:t>Braunerhjelm</w:t>
          </w:r>
          <w:proofErr w:type="spellEnd"/>
          <w:r w:rsidRPr="00364A85">
            <w:rPr>
              <w:rFonts w:ascii="Times New Roman" w:eastAsia="Times New Roman" w:hAnsi="Times New Roman" w:cs="Times New Roman"/>
              <w:color w:val="000000"/>
              <w:kern w:val="2"/>
              <w:sz w:val="24"/>
              <w:szCs w:val="24"/>
              <w14:ligatures w14:val="standardContextual"/>
            </w:rPr>
            <w:t xml:space="preserve">, P., Holm, U., &amp; Terjesen, S. (2006). Why do some multinational corporations relocate their headquarters overseas? </w:t>
          </w:r>
          <w:r w:rsidRPr="00364A85">
            <w:rPr>
              <w:rFonts w:ascii="Times New Roman" w:eastAsia="Times New Roman" w:hAnsi="Times New Roman" w:cs="Times New Roman"/>
              <w:i/>
              <w:iCs/>
              <w:color w:val="000000"/>
              <w:kern w:val="2"/>
              <w:sz w:val="24"/>
              <w:szCs w:val="24"/>
              <w14:ligatures w14:val="standardContextual"/>
            </w:rPr>
            <w:t>Strategic Management Journal</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27</w:t>
          </w:r>
          <w:r w:rsidRPr="00364A85">
            <w:rPr>
              <w:rFonts w:ascii="Times New Roman" w:eastAsia="Times New Roman" w:hAnsi="Times New Roman" w:cs="Times New Roman"/>
              <w:color w:val="000000"/>
              <w:kern w:val="2"/>
              <w:sz w:val="24"/>
              <w:szCs w:val="24"/>
              <w14:ligatures w14:val="standardContextual"/>
            </w:rPr>
            <w:t>(7), 681–700. https://doi.org/10.1002/smj.541</w:t>
          </w:r>
        </w:p>
        <w:p w14:paraId="13920E3A"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Call, A. C., Campbell, J. L., Dhaliwal, D. S., &amp; Moon, J. R. (2017). Employee quality and financial reporting outcomes. </w:t>
          </w:r>
          <w:r w:rsidRPr="00364A85">
            <w:rPr>
              <w:rFonts w:ascii="Times New Roman" w:eastAsia="Times New Roman" w:hAnsi="Times New Roman" w:cs="Times New Roman"/>
              <w:i/>
              <w:iCs/>
              <w:color w:val="000000"/>
              <w:kern w:val="2"/>
              <w:sz w:val="24"/>
              <w:szCs w:val="24"/>
              <w14:ligatures w14:val="standardContextual"/>
            </w:rPr>
            <w:t>Journal of Accounting and Economics</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64</w:t>
          </w:r>
          <w:r w:rsidRPr="00364A85">
            <w:rPr>
              <w:rFonts w:ascii="Times New Roman" w:eastAsia="Times New Roman" w:hAnsi="Times New Roman" w:cs="Times New Roman"/>
              <w:color w:val="000000"/>
              <w:kern w:val="2"/>
              <w:sz w:val="24"/>
              <w:szCs w:val="24"/>
              <w14:ligatures w14:val="standardContextual"/>
            </w:rPr>
            <w:t>(1), 123–149. https://doi.org/10.1016/j.jacceco.2017.06.003</w:t>
          </w:r>
        </w:p>
        <w:p w14:paraId="65388BC7"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proofErr w:type="spellStart"/>
          <w:r w:rsidRPr="00364A85">
            <w:rPr>
              <w:rFonts w:ascii="Times New Roman" w:eastAsia="Times New Roman" w:hAnsi="Times New Roman" w:cs="Times New Roman"/>
              <w:color w:val="000000"/>
              <w:kern w:val="2"/>
              <w:sz w:val="24"/>
              <w:szCs w:val="24"/>
              <w14:ligatures w14:val="standardContextual"/>
            </w:rPr>
            <w:t>Carcello</w:t>
          </w:r>
          <w:proofErr w:type="spellEnd"/>
          <w:r w:rsidRPr="00364A85">
            <w:rPr>
              <w:rFonts w:ascii="Times New Roman" w:eastAsia="Times New Roman" w:hAnsi="Times New Roman" w:cs="Times New Roman"/>
              <w:color w:val="000000"/>
              <w:kern w:val="2"/>
              <w:sz w:val="24"/>
              <w:szCs w:val="24"/>
              <w14:ligatures w14:val="standardContextual"/>
            </w:rPr>
            <w:t xml:space="preserve">, J. V., &amp; Li, C. (2013). Costs and benefits of requiring an engagement partner signature: Recent experience in the United Kingdom. </w:t>
          </w:r>
          <w:r w:rsidRPr="00364A85">
            <w:rPr>
              <w:rFonts w:ascii="Times New Roman" w:eastAsia="Times New Roman" w:hAnsi="Times New Roman" w:cs="Times New Roman"/>
              <w:i/>
              <w:iCs/>
              <w:color w:val="000000"/>
              <w:kern w:val="2"/>
              <w:sz w:val="24"/>
              <w:szCs w:val="24"/>
              <w14:ligatures w14:val="standardContextual"/>
            </w:rPr>
            <w:t>The Accounting Review</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88</w:t>
          </w:r>
          <w:r w:rsidRPr="00364A85">
            <w:rPr>
              <w:rFonts w:ascii="Times New Roman" w:eastAsia="Times New Roman" w:hAnsi="Times New Roman" w:cs="Times New Roman"/>
              <w:color w:val="000000"/>
              <w:kern w:val="2"/>
              <w:sz w:val="24"/>
              <w:szCs w:val="24"/>
              <w14:ligatures w14:val="standardContextual"/>
            </w:rPr>
            <w:t>(5), 1511–1546. https://doi.org/10.2308/accr-50450</w:t>
          </w:r>
        </w:p>
        <w:p w14:paraId="455740C9"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Chalmers, K., Hay, D., &amp; </w:t>
          </w:r>
          <w:proofErr w:type="spellStart"/>
          <w:r w:rsidRPr="00364A85">
            <w:rPr>
              <w:rFonts w:ascii="Times New Roman" w:eastAsia="Times New Roman" w:hAnsi="Times New Roman" w:cs="Times New Roman"/>
              <w:color w:val="000000"/>
              <w:kern w:val="2"/>
              <w:sz w:val="24"/>
              <w:szCs w:val="24"/>
              <w14:ligatures w14:val="standardContextual"/>
            </w:rPr>
            <w:t>Khlif</w:t>
          </w:r>
          <w:proofErr w:type="spellEnd"/>
          <w:r w:rsidRPr="00364A85">
            <w:rPr>
              <w:rFonts w:ascii="Times New Roman" w:eastAsia="Times New Roman" w:hAnsi="Times New Roman" w:cs="Times New Roman"/>
              <w:color w:val="000000"/>
              <w:kern w:val="2"/>
              <w:sz w:val="24"/>
              <w:szCs w:val="24"/>
              <w14:ligatures w14:val="standardContextual"/>
            </w:rPr>
            <w:t xml:space="preserve">, H. (2019). Internal Control in Accounting Research: A review. </w:t>
          </w:r>
          <w:r w:rsidRPr="00364A85">
            <w:rPr>
              <w:rFonts w:ascii="Times New Roman" w:eastAsia="Times New Roman" w:hAnsi="Times New Roman" w:cs="Times New Roman"/>
              <w:i/>
              <w:iCs/>
              <w:color w:val="000000"/>
              <w:kern w:val="2"/>
              <w:sz w:val="24"/>
              <w:szCs w:val="24"/>
              <w14:ligatures w14:val="standardContextual"/>
            </w:rPr>
            <w:t>Journal of Accounting Literature</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42</w:t>
          </w:r>
          <w:r w:rsidRPr="00364A85">
            <w:rPr>
              <w:rFonts w:ascii="Times New Roman" w:eastAsia="Times New Roman" w:hAnsi="Times New Roman" w:cs="Times New Roman"/>
              <w:color w:val="000000"/>
              <w:kern w:val="2"/>
              <w:sz w:val="24"/>
              <w:szCs w:val="24"/>
              <w14:ligatures w14:val="standardContextual"/>
            </w:rPr>
            <w:t>(March 2018), 80–103. https://doi.org/10.1016/j.acclit.2018.03.002</w:t>
          </w:r>
        </w:p>
        <w:p w14:paraId="3F5D43A6"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Chan, S. H., Gau, G. W., &amp; Wang, K. (1995). Stock Market Reaction to Capital Investment Decisions: Evidence from Business Relocations. </w:t>
          </w:r>
          <w:r w:rsidRPr="00364A85">
            <w:rPr>
              <w:rFonts w:ascii="Times New Roman" w:eastAsia="Times New Roman" w:hAnsi="Times New Roman" w:cs="Times New Roman"/>
              <w:i/>
              <w:iCs/>
              <w:color w:val="000000"/>
              <w:kern w:val="2"/>
              <w:sz w:val="24"/>
              <w:szCs w:val="24"/>
              <w14:ligatures w14:val="standardContextual"/>
            </w:rPr>
            <w:t>The Journal of Financial and Quantitative Analysis</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30</w:t>
          </w:r>
          <w:r w:rsidRPr="00364A85">
            <w:rPr>
              <w:rFonts w:ascii="Times New Roman" w:eastAsia="Times New Roman" w:hAnsi="Times New Roman" w:cs="Times New Roman"/>
              <w:color w:val="000000"/>
              <w:kern w:val="2"/>
              <w:sz w:val="24"/>
              <w:szCs w:val="24"/>
              <w14:ligatures w14:val="standardContextual"/>
            </w:rPr>
            <w:t>(1), 81. https://doi.org/10.2307/2331254</w:t>
          </w:r>
        </w:p>
        <w:p w14:paraId="77F90EF8"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Chen, L. H., Krishnan, J., Sami, H., &amp; Zhou, H. (2013). Auditor attestation under SOX Section 404 and earnings informativeness. </w:t>
          </w:r>
          <w:r w:rsidRPr="00364A85">
            <w:rPr>
              <w:rFonts w:ascii="Times New Roman" w:eastAsia="Times New Roman" w:hAnsi="Times New Roman" w:cs="Times New Roman"/>
              <w:i/>
              <w:iCs/>
              <w:color w:val="000000"/>
              <w:kern w:val="2"/>
              <w:sz w:val="24"/>
              <w:szCs w:val="24"/>
              <w14:ligatures w14:val="standardContextual"/>
            </w:rPr>
            <w:t>Auditing: A Journal of Practice &amp; Theory</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32</w:t>
          </w:r>
          <w:r w:rsidRPr="00364A85">
            <w:rPr>
              <w:rFonts w:ascii="Times New Roman" w:eastAsia="Times New Roman" w:hAnsi="Times New Roman" w:cs="Times New Roman"/>
              <w:color w:val="000000"/>
              <w:kern w:val="2"/>
              <w:sz w:val="24"/>
              <w:szCs w:val="24"/>
              <w14:ligatures w14:val="standardContextual"/>
            </w:rPr>
            <w:t>(1), 61–84. https://doi.org/10.2308/ajpt-50334</w:t>
          </w:r>
        </w:p>
        <w:p w14:paraId="28C02DDE"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Cheng, Q., Goh, B. W., &amp; Kim, J. B. (2018). Internal Control and Operational Efficiency. </w:t>
          </w:r>
          <w:r w:rsidRPr="00364A85">
            <w:rPr>
              <w:rFonts w:ascii="Times New Roman" w:eastAsia="Times New Roman" w:hAnsi="Times New Roman" w:cs="Times New Roman"/>
              <w:i/>
              <w:iCs/>
              <w:color w:val="000000"/>
              <w:kern w:val="2"/>
              <w:sz w:val="24"/>
              <w:szCs w:val="24"/>
              <w14:ligatures w14:val="standardContextual"/>
            </w:rPr>
            <w:t>Contemporary Accounting Research</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35</w:t>
          </w:r>
          <w:r w:rsidRPr="00364A85">
            <w:rPr>
              <w:rFonts w:ascii="Times New Roman" w:eastAsia="Times New Roman" w:hAnsi="Times New Roman" w:cs="Times New Roman"/>
              <w:color w:val="000000"/>
              <w:kern w:val="2"/>
              <w:sz w:val="24"/>
              <w:szCs w:val="24"/>
              <w14:ligatures w14:val="standardContextual"/>
            </w:rPr>
            <w:t>(2), 1102–1139. https://doi.org/10.1111/1911-3846.12409</w:t>
          </w:r>
        </w:p>
        <w:p w14:paraId="6FAC552B"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proofErr w:type="spellStart"/>
          <w:r w:rsidRPr="00364A85">
            <w:rPr>
              <w:rFonts w:ascii="Times New Roman" w:eastAsia="Times New Roman" w:hAnsi="Times New Roman" w:cs="Times New Roman"/>
              <w:color w:val="000000"/>
              <w:kern w:val="2"/>
              <w:sz w:val="24"/>
              <w:szCs w:val="24"/>
              <w14:ligatures w14:val="standardContextual"/>
            </w:rPr>
            <w:t>Chenhall</w:t>
          </w:r>
          <w:proofErr w:type="spellEnd"/>
          <w:r w:rsidRPr="00364A85">
            <w:rPr>
              <w:rFonts w:ascii="Times New Roman" w:eastAsia="Times New Roman" w:hAnsi="Times New Roman" w:cs="Times New Roman"/>
              <w:color w:val="000000"/>
              <w:kern w:val="2"/>
              <w:sz w:val="24"/>
              <w:szCs w:val="24"/>
              <w14:ligatures w14:val="standardContextual"/>
            </w:rPr>
            <w:t xml:space="preserve">, R. H., Hall, M., &amp; Smith, D. (2010). Social Capital and Management Control Systems: A Study of a Non-Government Organization. </w:t>
          </w:r>
          <w:r w:rsidRPr="00364A85">
            <w:rPr>
              <w:rFonts w:ascii="Times New Roman" w:eastAsia="Times New Roman" w:hAnsi="Times New Roman" w:cs="Times New Roman"/>
              <w:i/>
              <w:iCs/>
              <w:color w:val="000000"/>
              <w:kern w:val="2"/>
              <w:sz w:val="24"/>
              <w:szCs w:val="24"/>
              <w14:ligatures w14:val="standardContextual"/>
            </w:rPr>
            <w:t>Accounting, Organizations and Society</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35</w:t>
          </w:r>
          <w:r w:rsidRPr="00364A85">
            <w:rPr>
              <w:rFonts w:ascii="Times New Roman" w:eastAsia="Times New Roman" w:hAnsi="Times New Roman" w:cs="Times New Roman"/>
              <w:color w:val="000000"/>
              <w:kern w:val="2"/>
              <w:sz w:val="24"/>
              <w:szCs w:val="24"/>
              <w14:ligatures w14:val="standardContextual"/>
            </w:rPr>
            <w:t>(8), 737–756. https://doi.org/10.1016/j.aos.2010.09.006</w:t>
          </w:r>
        </w:p>
        <w:p w14:paraId="414C4350"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Chow, T., Huang, S., Klassen, K. J., &amp; Ng, J. (2021). The Influence of Corporate Income Taxes on Investment Location: Evidence from Corporate Headquarters Relocations. </w:t>
          </w:r>
          <w:r w:rsidRPr="00364A85">
            <w:rPr>
              <w:rFonts w:ascii="Times New Roman" w:eastAsia="Times New Roman" w:hAnsi="Times New Roman" w:cs="Times New Roman"/>
              <w:i/>
              <w:iCs/>
              <w:color w:val="000000"/>
              <w:kern w:val="2"/>
              <w:sz w:val="24"/>
              <w:szCs w:val="24"/>
              <w14:ligatures w14:val="standardContextual"/>
            </w:rPr>
            <w:t>Management Science</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January 2022</w:t>
          </w:r>
          <w:r w:rsidRPr="00364A85">
            <w:rPr>
              <w:rFonts w:ascii="Times New Roman" w:eastAsia="Times New Roman" w:hAnsi="Times New Roman" w:cs="Times New Roman"/>
              <w:color w:val="000000"/>
              <w:kern w:val="2"/>
              <w:sz w:val="24"/>
              <w:szCs w:val="24"/>
              <w14:ligatures w14:val="standardContextual"/>
            </w:rPr>
            <w:t>. https://doi.org/10.1287/mnsc.2020.3906</w:t>
          </w:r>
        </w:p>
        <w:p w14:paraId="25BF3519"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COSO. (2013). </w:t>
          </w:r>
          <w:r w:rsidRPr="00364A85">
            <w:rPr>
              <w:rFonts w:ascii="Times New Roman" w:eastAsia="Times New Roman" w:hAnsi="Times New Roman" w:cs="Times New Roman"/>
              <w:i/>
              <w:iCs/>
              <w:color w:val="000000"/>
              <w:kern w:val="2"/>
              <w:sz w:val="24"/>
              <w:szCs w:val="24"/>
              <w14:ligatures w14:val="standardContextual"/>
            </w:rPr>
            <w:t>Internal Control—Integrated Framework</w:t>
          </w:r>
          <w:r w:rsidRPr="00364A85">
            <w:rPr>
              <w:rFonts w:ascii="Times New Roman" w:eastAsia="Times New Roman" w:hAnsi="Times New Roman" w:cs="Times New Roman"/>
              <w:color w:val="000000"/>
              <w:kern w:val="2"/>
              <w:sz w:val="24"/>
              <w:szCs w:val="24"/>
              <w14:ligatures w14:val="standardContextual"/>
            </w:rPr>
            <w:t>. www.coso.org</w:t>
          </w:r>
        </w:p>
        <w:p w14:paraId="3364BC2D"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De Winne, S., </w:t>
          </w:r>
          <w:proofErr w:type="spellStart"/>
          <w:r w:rsidRPr="00364A85">
            <w:rPr>
              <w:rFonts w:ascii="Times New Roman" w:eastAsia="Times New Roman" w:hAnsi="Times New Roman" w:cs="Times New Roman"/>
              <w:color w:val="000000"/>
              <w:kern w:val="2"/>
              <w:sz w:val="24"/>
              <w:szCs w:val="24"/>
              <w14:ligatures w14:val="standardContextual"/>
            </w:rPr>
            <w:t>Marescaux</w:t>
          </w:r>
          <w:proofErr w:type="spellEnd"/>
          <w:r w:rsidRPr="00364A85">
            <w:rPr>
              <w:rFonts w:ascii="Times New Roman" w:eastAsia="Times New Roman" w:hAnsi="Times New Roman" w:cs="Times New Roman"/>
              <w:color w:val="000000"/>
              <w:kern w:val="2"/>
              <w:sz w:val="24"/>
              <w:szCs w:val="24"/>
              <w14:ligatures w14:val="standardContextual"/>
            </w:rPr>
            <w:t xml:space="preserve">, E., Sels, L., Van Beveren, I., &amp; </w:t>
          </w:r>
          <w:proofErr w:type="spellStart"/>
          <w:r w:rsidRPr="00364A85">
            <w:rPr>
              <w:rFonts w:ascii="Times New Roman" w:eastAsia="Times New Roman" w:hAnsi="Times New Roman" w:cs="Times New Roman"/>
              <w:color w:val="000000"/>
              <w:kern w:val="2"/>
              <w:sz w:val="24"/>
              <w:szCs w:val="24"/>
              <w14:ligatures w14:val="standardContextual"/>
            </w:rPr>
            <w:t>Vanormelingen</w:t>
          </w:r>
          <w:proofErr w:type="spellEnd"/>
          <w:r w:rsidRPr="00364A85">
            <w:rPr>
              <w:rFonts w:ascii="Times New Roman" w:eastAsia="Times New Roman" w:hAnsi="Times New Roman" w:cs="Times New Roman"/>
              <w:color w:val="000000"/>
              <w:kern w:val="2"/>
              <w:sz w:val="24"/>
              <w:szCs w:val="24"/>
              <w14:ligatures w14:val="standardContextual"/>
            </w:rPr>
            <w:t>, S. (2019). The Impact of Employee Turnover and Turnover Volatility on Labor Productivity: A Flexible Non-</w:t>
          </w:r>
          <w:r w:rsidRPr="00364A85">
            <w:rPr>
              <w:rFonts w:ascii="Times New Roman" w:eastAsia="Times New Roman" w:hAnsi="Times New Roman" w:cs="Times New Roman"/>
              <w:color w:val="000000"/>
              <w:kern w:val="2"/>
              <w:sz w:val="24"/>
              <w:szCs w:val="24"/>
              <w14:ligatures w14:val="standardContextual"/>
            </w:rPr>
            <w:lastRenderedPageBreak/>
            <w:t xml:space="preserve">Linear Approach. </w:t>
          </w:r>
          <w:r w:rsidRPr="00364A85">
            <w:rPr>
              <w:rFonts w:ascii="Times New Roman" w:eastAsia="Times New Roman" w:hAnsi="Times New Roman" w:cs="Times New Roman"/>
              <w:i/>
              <w:iCs/>
              <w:color w:val="000000"/>
              <w:kern w:val="2"/>
              <w:sz w:val="24"/>
              <w:szCs w:val="24"/>
              <w14:ligatures w14:val="standardContextual"/>
            </w:rPr>
            <w:t>International Journal of Human Resource Management</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30</w:t>
          </w:r>
          <w:r w:rsidRPr="00364A85">
            <w:rPr>
              <w:rFonts w:ascii="Times New Roman" w:eastAsia="Times New Roman" w:hAnsi="Times New Roman" w:cs="Times New Roman"/>
              <w:color w:val="000000"/>
              <w:kern w:val="2"/>
              <w:sz w:val="24"/>
              <w:szCs w:val="24"/>
              <w14:ligatures w14:val="standardContextual"/>
            </w:rPr>
            <w:t>(21), 3049–3079. https://doi.org/10.1080/09585192.2018.1449129</w:t>
          </w:r>
        </w:p>
        <w:p w14:paraId="3A93D7C0"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Dess, G. G., &amp; Shaw, J. D. (2001). Voluntary Turnover, Social Capital, and Organizational Performance. </w:t>
          </w:r>
          <w:r w:rsidRPr="00364A85">
            <w:rPr>
              <w:rFonts w:ascii="Times New Roman" w:eastAsia="Times New Roman" w:hAnsi="Times New Roman" w:cs="Times New Roman"/>
              <w:i/>
              <w:iCs/>
              <w:color w:val="000000"/>
              <w:kern w:val="2"/>
              <w:sz w:val="24"/>
              <w:szCs w:val="24"/>
              <w14:ligatures w14:val="standardContextual"/>
            </w:rPr>
            <w:t>Academy of Management Review</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26</w:t>
          </w:r>
          <w:r w:rsidRPr="00364A85">
            <w:rPr>
              <w:rFonts w:ascii="Times New Roman" w:eastAsia="Times New Roman" w:hAnsi="Times New Roman" w:cs="Times New Roman"/>
              <w:color w:val="000000"/>
              <w:kern w:val="2"/>
              <w:sz w:val="24"/>
              <w:szCs w:val="24"/>
              <w14:ligatures w14:val="standardContextual"/>
            </w:rPr>
            <w:t>(3), 446–456. https://doi.org/10.5465/AMR.2001.4845830</w:t>
          </w:r>
        </w:p>
        <w:p w14:paraId="54C8AC94"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Donelson, D. C., Ege, M. S., &amp; McInnis, J. M. (2017). Internal Control Weaknesses and Financial Reporting Fraud. </w:t>
          </w:r>
          <w:r w:rsidRPr="00364A85">
            <w:rPr>
              <w:rFonts w:ascii="Times New Roman" w:eastAsia="Times New Roman" w:hAnsi="Times New Roman" w:cs="Times New Roman"/>
              <w:i/>
              <w:iCs/>
              <w:color w:val="000000"/>
              <w:kern w:val="2"/>
              <w:sz w:val="24"/>
              <w:szCs w:val="24"/>
              <w14:ligatures w14:val="standardContextual"/>
            </w:rPr>
            <w:t>Auditing: A Journal of Practice &amp; Theory</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36</w:t>
          </w:r>
          <w:r w:rsidRPr="00364A85">
            <w:rPr>
              <w:rFonts w:ascii="Times New Roman" w:eastAsia="Times New Roman" w:hAnsi="Times New Roman" w:cs="Times New Roman"/>
              <w:color w:val="000000"/>
              <w:kern w:val="2"/>
              <w:sz w:val="24"/>
              <w:szCs w:val="24"/>
              <w14:ligatures w14:val="standardContextual"/>
            </w:rPr>
            <w:t>(3), 45–69. https://doi.org/10.2308/ajpt-51608</w:t>
          </w:r>
        </w:p>
        <w:p w14:paraId="31917CB6"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Feldman, D. C., &amp; Bolino, M. C. (1998). Moving on out: When are employees willing to follow their organization during corporate relocation? </w:t>
          </w:r>
          <w:r w:rsidRPr="00364A85">
            <w:rPr>
              <w:rFonts w:ascii="Times New Roman" w:eastAsia="Times New Roman" w:hAnsi="Times New Roman" w:cs="Times New Roman"/>
              <w:i/>
              <w:iCs/>
              <w:color w:val="000000"/>
              <w:kern w:val="2"/>
              <w:sz w:val="24"/>
              <w:szCs w:val="24"/>
              <w14:ligatures w14:val="standardContextual"/>
            </w:rPr>
            <w:t>Journal of Organizational Behavior</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19</w:t>
          </w:r>
          <w:r w:rsidRPr="00364A85">
            <w:rPr>
              <w:rFonts w:ascii="Times New Roman" w:eastAsia="Times New Roman" w:hAnsi="Times New Roman" w:cs="Times New Roman"/>
              <w:color w:val="000000"/>
              <w:kern w:val="2"/>
              <w:sz w:val="24"/>
              <w:szCs w:val="24"/>
              <w14:ligatures w14:val="standardContextual"/>
            </w:rPr>
            <w:t>(3), 275–288. https://doi.org/10.1002</w:t>
          </w:r>
        </w:p>
        <w:p w14:paraId="356A2EE1"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Feng, M., Li, C., McVay, S. E., &amp; Skaife, H. (2015). Does Ineffective Internal Control over Financial Reporting affect a Firm’s Operations? Evidence from Firms’ Inventory Management. </w:t>
          </w:r>
          <w:r w:rsidRPr="00364A85">
            <w:rPr>
              <w:rFonts w:ascii="Times New Roman" w:eastAsia="Times New Roman" w:hAnsi="Times New Roman" w:cs="Times New Roman"/>
              <w:i/>
              <w:iCs/>
              <w:color w:val="000000"/>
              <w:kern w:val="2"/>
              <w:sz w:val="24"/>
              <w:szCs w:val="24"/>
              <w14:ligatures w14:val="standardContextual"/>
            </w:rPr>
            <w:t>The Accounting Review</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90</w:t>
          </w:r>
          <w:r w:rsidRPr="00364A85">
            <w:rPr>
              <w:rFonts w:ascii="Times New Roman" w:eastAsia="Times New Roman" w:hAnsi="Times New Roman" w:cs="Times New Roman"/>
              <w:color w:val="000000"/>
              <w:kern w:val="2"/>
              <w:sz w:val="24"/>
              <w:szCs w:val="24"/>
              <w14:ligatures w14:val="standardContextual"/>
            </w:rPr>
            <w:t>(2), 529–557. https://doi.org/10.2308/accr-50909</w:t>
          </w:r>
        </w:p>
        <w:p w14:paraId="459542A2"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Forster, N. S. (1990). Employee Job Mobility and Relocation. </w:t>
          </w:r>
          <w:r w:rsidRPr="00364A85">
            <w:rPr>
              <w:rFonts w:ascii="Times New Roman" w:eastAsia="Times New Roman" w:hAnsi="Times New Roman" w:cs="Times New Roman"/>
              <w:i/>
              <w:iCs/>
              <w:color w:val="000000"/>
              <w:kern w:val="2"/>
              <w:sz w:val="24"/>
              <w:szCs w:val="24"/>
              <w14:ligatures w14:val="standardContextual"/>
            </w:rPr>
            <w:t>Personnel Review</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19</w:t>
          </w:r>
          <w:r w:rsidRPr="00364A85">
            <w:rPr>
              <w:rFonts w:ascii="Times New Roman" w:eastAsia="Times New Roman" w:hAnsi="Times New Roman" w:cs="Times New Roman"/>
              <w:color w:val="000000"/>
              <w:kern w:val="2"/>
              <w:sz w:val="24"/>
              <w:szCs w:val="24"/>
              <w14:ligatures w14:val="standardContextual"/>
            </w:rPr>
            <w:t>(6), 18–24. https://doi.org/10.1108/EUM0000000000783</w:t>
          </w:r>
        </w:p>
        <w:p w14:paraId="0A2A12FA"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Ge, W., Koester, A., &amp; McVay, S. (2017). Benefits and costs of Sarbanes-Oxley Section 404(b) exemption: Evidence from small firms’ internal control disclosures. </w:t>
          </w:r>
          <w:r w:rsidRPr="00364A85">
            <w:rPr>
              <w:rFonts w:ascii="Times New Roman" w:eastAsia="Times New Roman" w:hAnsi="Times New Roman" w:cs="Times New Roman"/>
              <w:i/>
              <w:iCs/>
              <w:color w:val="000000"/>
              <w:kern w:val="2"/>
              <w:sz w:val="24"/>
              <w:szCs w:val="24"/>
              <w14:ligatures w14:val="standardContextual"/>
            </w:rPr>
            <w:t>Journal of Accounting and Economics</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63</w:t>
          </w:r>
          <w:r w:rsidRPr="00364A85">
            <w:rPr>
              <w:rFonts w:ascii="Times New Roman" w:eastAsia="Times New Roman" w:hAnsi="Times New Roman" w:cs="Times New Roman"/>
              <w:color w:val="000000"/>
              <w:kern w:val="2"/>
              <w:sz w:val="24"/>
              <w:szCs w:val="24"/>
              <w14:ligatures w14:val="standardContextual"/>
            </w:rPr>
            <w:t>(2–3), 358–384. https://doi.org/10.1016/j.jacceco.2017.01.001</w:t>
          </w:r>
        </w:p>
        <w:p w14:paraId="0B26B74C"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Gregory, R., Lombard, J. R., &amp; Seifert, B. (2005). Impact of headquarters relocation on the operating performance of the firm. </w:t>
          </w:r>
          <w:r w:rsidRPr="00364A85">
            <w:rPr>
              <w:rFonts w:ascii="Times New Roman" w:eastAsia="Times New Roman" w:hAnsi="Times New Roman" w:cs="Times New Roman"/>
              <w:i/>
              <w:iCs/>
              <w:color w:val="000000"/>
              <w:kern w:val="2"/>
              <w:sz w:val="24"/>
              <w:szCs w:val="24"/>
              <w14:ligatures w14:val="standardContextual"/>
            </w:rPr>
            <w:t>Economic Development Quarterly</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19</w:t>
          </w:r>
          <w:r w:rsidRPr="00364A85">
            <w:rPr>
              <w:rFonts w:ascii="Times New Roman" w:eastAsia="Times New Roman" w:hAnsi="Times New Roman" w:cs="Times New Roman"/>
              <w:color w:val="000000"/>
              <w:kern w:val="2"/>
              <w:sz w:val="24"/>
              <w:szCs w:val="24"/>
              <w14:ligatures w14:val="standardContextual"/>
            </w:rPr>
            <w:t>(3), 260–270. https://doi.org/10.1177/0891242405276360</w:t>
          </w:r>
        </w:p>
        <w:p w14:paraId="6752941B"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Guo, J., Huang, P., Zhang, Y., &amp; Zhou, N. (2016). The effect of employee treatment policies on internal control weaknesses and financial restatements. </w:t>
          </w:r>
          <w:r w:rsidRPr="00364A85">
            <w:rPr>
              <w:rFonts w:ascii="Times New Roman" w:eastAsia="Times New Roman" w:hAnsi="Times New Roman" w:cs="Times New Roman"/>
              <w:i/>
              <w:iCs/>
              <w:color w:val="000000"/>
              <w:kern w:val="2"/>
              <w:sz w:val="24"/>
              <w:szCs w:val="24"/>
              <w14:ligatures w14:val="standardContextual"/>
            </w:rPr>
            <w:t>The Accounting Review</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91</w:t>
          </w:r>
          <w:r w:rsidRPr="00364A85">
            <w:rPr>
              <w:rFonts w:ascii="Times New Roman" w:eastAsia="Times New Roman" w:hAnsi="Times New Roman" w:cs="Times New Roman"/>
              <w:color w:val="000000"/>
              <w:kern w:val="2"/>
              <w:sz w:val="24"/>
              <w:szCs w:val="24"/>
              <w14:ligatures w14:val="standardContextual"/>
            </w:rPr>
            <w:t>(4), 1167–1194. https://doi.org/10.2308/accr-51269</w:t>
          </w:r>
        </w:p>
        <w:p w14:paraId="6608C42C"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Gupta, A., Raman, K., &amp; Shang, C. (2018). Social capital and the cost of equity. </w:t>
          </w:r>
          <w:r w:rsidRPr="00364A85">
            <w:rPr>
              <w:rFonts w:ascii="Times New Roman" w:eastAsia="Times New Roman" w:hAnsi="Times New Roman" w:cs="Times New Roman"/>
              <w:i/>
              <w:iCs/>
              <w:color w:val="000000"/>
              <w:kern w:val="2"/>
              <w:sz w:val="24"/>
              <w:szCs w:val="24"/>
              <w14:ligatures w14:val="standardContextual"/>
            </w:rPr>
            <w:t>Journal of Banking and Finance</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87</w:t>
          </w:r>
          <w:r w:rsidRPr="00364A85">
            <w:rPr>
              <w:rFonts w:ascii="Times New Roman" w:eastAsia="Times New Roman" w:hAnsi="Times New Roman" w:cs="Times New Roman"/>
              <w:color w:val="000000"/>
              <w:kern w:val="2"/>
              <w:sz w:val="24"/>
              <w:szCs w:val="24"/>
              <w14:ligatures w14:val="standardContextual"/>
            </w:rPr>
            <w:t>, 102–117. https://doi.org/10.1016/j.jbankfin.2017.10.002</w:t>
          </w:r>
        </w:p>
        <w:p w14:paraId="795AA931"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Hasan, I., Hoi, C. K. S., Wu, Q., &amp; Zhang, H. (2017a). Does Social Capital Matter in Corporate Decisions? Evidence from Corporate Tax Avoidance. </w:t>
          </w:r>
          <w:r w:rsidRPr="00364A85">
            <w:rPr>
              <w:rFonts w:ascii="Times New Roman" w:eastAsia="Times New Roman" w:hAnsi="Times New Roman" w:cs="Times New Roman"/>
              <w:i/>
              <w:iCs/>
              <w:color w:val="000000"/>
              <w:kern w:val="2"/>
              <w:sz w:val="24"/>
              <w:szCs w:val="24"/>
              <w14:ligatures w14:val="standardContextual"/>
            </w:rPr>
            <w:t>Journal of Accounting Research</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55</w:t>
          </w:r>
          <w:r w:rsidRPr="00364A85">
            <w:rPr>
              <w:rFonts w:ascii="Times New Roman" w:eastAsia="Times New Roman" w:hAnsi="Times New Roman" w:cs="Times New Roman"/>
              <w:color w:val="000000"/>
              <w:kern w:val="2"/>
              <w:sz w:val="24"/>
              <w:szCs w:val="24"/>
              <w14:ligatures w14:val="standardContextual"/>
            </w:rPr>
            <w:t>(3), 629–668. https://doi.org/10.1111/1475-679X.12159</w:t>
          </w:r>
        </w:p>
        <w:p w14:paraId="2619BB82"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Hasan, I., Hoi, C. K., Wu, Q., &amp; Zhang, H. (2017b). Social Capital and Debt Contracting: Evidence from Bank Loans and Public Bonds. </w:t>
          </w:r>
          <w:r w:rsidRPr="00364A85">
            <w:rPr>
              <w:rFonts w:ascii="Times New Roman" w:eastAsia="Times New Roman" w:hAnsi="Times New Roman" w:cs="Times New Roman"/>
              <w:i/>
              <w:iCs/>
              <w:color w:val="000000"/>
              <w:kern w:val="2"/>
              <w:sz w:val="24"/>
              <w:szCs w:val="24"/>
              <w14:ligatures w14:val="standardContextual"/>
            </w:rPr>
            <w:t>Journal of Financial and Quantitative Analysis</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52</w:t>
          </w:r>
          <w:r w:rsidRPr="00364A85">
            <w:rPr>
              <w:rFonts w:ascii="Times New Roman" w:eastAsia="Times New Roman" w:hAnsi="Times New Roman" w:cs="Times New Roman"/>
              <w:color w:val="000000"/>
              <w:kern w:val="2"/>
              <w:sz w:val="24"/>
              <w:szCs w:val="24"/>
              <w14:ligatures w14:val="standardContextual"/>
            </w:rPr>
            <w:t>(3), 1017–1047. https://doi.org/10.1017/S0022109017000205</w:t>
          </w:r>
        </w:p>
        <w:p w14:paraId="443B23B2"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Jaggi, B., Mitra, S., &amp; Hossain, M. (2015). Earnings Quality, Internal Control Weaknesses and Industry-Specialist Audits. </w:t>
          </w:r>
          <w:r w:rsidRPr="00364A85">
            <w:rPr>
              <w:rFonts w:ascii="Times New Roman" w:eastAsia="Times New Roman" w:hAnsi="Times New Roman" w:cs="Times New Roman"/>
              <w:i/>
              <w:iCs/>
              <w:color w:val="000000"/>
              <w:kern w:val="2"/>
              <w:sz w:val="24"/>
              <w:szCs w:val="24"/>
              <w14:ligatures w14:val="standardContextual"/>
            </w:rPr>
            <w:t>Review of Quantitative Finance and Accounting</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45</w:t>
          </w:r>
          <w:r w:rsidRPr="00364A85">
            <w:rPr>
              <w:rFonts w:ascii="Times New Roman" w:eastAsia="Times New Roman" w:hAnsi="Times New Roman" w:cs="Times New Roman"/>
              <w:color w:val="000000"/>
              <w:kern w:val="2"/>
              <w:sz w:val="24"/>
              <w:szCs w:val="24"/>
              <w14:ligatures w14:val="standardContextual"/>
            </w:rPr>
            <w:t>(1), 1–32. https://doi.org/10.1007/s11156-013-0431-3</w:t>
          </w:r>
        </w:p>
        <w:p w14:paraId="2BD549B8"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Jamba, Inc. (2017). Jamba, Inc. 10-K. https://www.sec.gov/Archives/edgar/data/1316898/000156459018001797/jmba-10k_20170103.htm</w:t>
          </w:r>
        </w:p>
        <w:p w14:paraId="3079DA75"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Järvinen, T., &amp; Myllymäki, E. R. (2016). Real earnings management before and after reporting SOX 404 material weaknesses. </w:t>
          </w:r>
          <w:r w:rsidRPr="00364A85">
            <w:rPr>
              <w:rFonts w:ascii="Times New Roman" w:eastAsia="Times New Roman" w:hAnsi="Times New Roman" w:cs="Times New Roman"/>
              <w:i/>
              <w:iCs/>
              <w:color w:val="000000"/>
              <w:kern w:val="2"/>
              <w:sz w:val="24"/>
              <w:szCs w:val="24"/>
              <w14:ligatures w14:val="standardContextual"/>
            </w:rPr>
            <w:t>The Accounting Horizons</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30</w:t>
          </w:r>
          <w:r w:rsidRPr="00364A85">
            <w:rPr>
              <w:rFonts w:ascii="Times New Roman" w:eastAsia="Times New Roman" w:hAnsi="Times New Roman" w:cs="Times New Roman"/>
              <w:color w:val="000000"/>
              <w:kern w:val="2"/>
              <w:sz w:val="24"/>
              <w:szCs w:val="24"/>
              <w14:ligatures w14:val="standardContextual"/>
            </w:rPr>
            <w:t>(1), 93–118. https://doi.org/10.2308/acch-51310</w:t>
          </w:r>
        </w:p>
        <w:p w14:paraId="4DBE8056"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Jha, A. (2019). Financial Reports and Social Capital. </w:t>
          </w:r>
          <w:r w:rsidRPr="00364A85">
            <w:rPr>
              <w:rFonts w:ascii="Times New Roman" w:eastAsia="Times New Roman" w:hAnsi="Times New Roman" w:cs="Times New Roman"/>
              <w:i/>
              <w:iCs/>
              <w:color w:val="000000"/>
              <w:kern w:val="2"/>
              <w:sz w:val="24"/>
              <w:szCs w:val="24"/>
              <w14:ligatures w14:val="standardContextual"/>
            </w:rPr>
            <w:t>Journal of Business Ethics</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155</w:t>
          </w:r>
          <w:r w:rsidRPr="00364A85">
            <w:rPr>
              <w:rFonts w:ascii="Times New Roman" w:eastAsia="Times New Roman" w:hAnsi="Times New Roman" w:cs="Times New Roman"/>
              <w:color w:val="000000"/>
              <w:kern w:val="2"/>
              <w:sz w:val="24"/>
              <w:szCs w:val="24"/>
              <w14:ligatures w14:val="standardContextual"/>
            </w:rPr>
            <w:t>(2), 567–596. https://doi.org/10.1007/s10551-017-3495-5</w:t>
          </w:r>
        </w:p>
        <w:p w14:paraId="204E482C"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lastRenderedPageBreak/>
            <w:t xml:space="preserve">Jha, A., &amp; Chen, Y. (2015). Audit Fees and Social Capital. </w:t>
          </w:r>
          <w:r w:rsidRPr="00364A85">
            <w:rPr>
              <w:rFonts w:ascii="Times New Roman" w:eastAsia="Times New Roman" w:hAnsi="Times New Roman" w:cs="Times New Roman"/>
              <w:i/>
              <w:iCs/>
              <w:color w:val="000000"/>
              <w:kern w:val="2"/>
              <w:sz w:val="24"/>
              <w:szCs w:val="24"/>
              <w14:ligatures w14:val="standardContextual"/>
            </w:rPr>
            <w:t>The Accounting Review</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90</w:t>
          </w:r>
          <w:r w:rsidRPr="00364A85">
            <w:rPr>
              <w:rFonts w:ascii="Times New Roman" w:eastAsia="Times New Roman" w:hAnsi="Times New Roman" w:cs="Times New Roman"/>
              <w:color w:val="000000"/>
              <w:kern w:val="2"/>
              <w:sz w:val="24"/>
              <w:szCs w:val="24"/>
              <w14:ligatures w14:val="standardContextual"/>
            </w:rPr>
            <w:t>(2), 611–639. https://doi.org/10.2308/accr-50878</w:t>
          </w:r>
        </w:p>
        <w:p w14:paraId="76338D28"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Jha, A., &amp; Cox, J. (2015). Corporate Social Responsibility and Social Capital. </w:t>
          </w:r>
          <w:r w:rsidRPr="00364A85">
            <w:rPr>
              <w:rFonts w:ascii="Times New Roman" w:eastAsia="Times New Roman" w:hAnsi="Times New Roman" w:cs="Times New Roman"/>
              <w:i/>
              <w:iCs/>
              <w:color w:val="000000"/>
              <w:kern w:val="2"/>
              <w:sz w:val="24"/>
              <w:szCs w:val="24"/>
              <w14:ligatures w14:val="standardContextual"/>
            </w:rPr>
            <w:t>Journal of Banking and Finance</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60</w:t>
          </w:r>
          <w:r w:rsidRPr="00364A85">
            <w:rPr>
              <w:rFonts w:ascii="Times New Roman" w:eastAsia="Times New Roman" w:hAnsi="Times New Roman" w:cs="Times New Roman"/>
              <w:color w:val="000000"/>
              <w:kern w:val="2"/>
              <w:sz w:val="24"/>
              <w:szCs w:val="24"/>
              <w14:ligatures w14:val="standardContextual"/>
            </w:rPr>
            <w:t>(October), 252–270. https://doi.org/10.1016/j.jbankfin.2015.08.003</w:t>
          </w:r>
        </w:p>
        <w:p w14:paraId="32BB3B2E"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Krishnan, J., Lee, S. M., Son, M., &amp; Song, H. (2021). Social Capital and Internal Control Material Weaknesses. </w:t>
          </w:r>
          <w:r w:rsidRPr="00364A85">
            <w:rPr>
              <w:rFonts w:ascii="Times New Roman" w:eastAsia="Times New Roman" w:hAnsi="Times New Roman" w:cs="Times New Roman"/>
              <w:i/>
              <w:iCs/>
              <w:color w:val="000000"/>
              <w:kern w:val="2"/>
              <w:sz w:val="24"/>
              <w:szCs w:val="24"/>
              <w14:ligatures w14:val="standardContextual"/>
            </w:rPr>
            <w:t>Accounting Horizons</w:t>
          </w:r>
          <w:r w:rsidRPr="00364A85">
            <w:rPr>
              <w:rFonts w:ascii="Times New Roman" w:eastAsia="Times New Roman" w:hAnsi="Times New Roman" w:cs="Times New Roman"/>
              <w:color w:val="000000"/>
              <w:kern w:val="2"/>
              <w:sz w:val="24"/>
              <w:szCs w:val="24"/>
              <w14:ligatures w14:val="standardContextual"/>
            </w:rPr>
            <w:t>. https://doi.org/10.2308/horizons-16-153</w:t>
          </w:r>
        </w:p>
        <w:p w14:paraId="53DA3318"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Krishnan, J., Rama, D., &amp; </w:t>
          </w:r>
          <w:proofErr w:type="spellStart"/>
          <w:r w:rsidRPr="00364A85">
            <w:rPr>
              <w:rFonts w:ascii="Times New Roman" w:eastAsia="Times New Roman" w:hAnsi="Times New Roman" w:cs="Times New Roman"/>
              <w:color w:val="000000"/>
              <w:kern w:val="2"/>
              <w:sz w:val="24"/>
              <w:szCs w:val="24"/>
              <w14:ligatures w14:val="standardContextual"/>
            </w:rPr>
            <w:t>Yinghong</w:t>
          </w:r>
          <w:proofErr w:type="spellEnd"/>
          <w:r w:rsidRPr="00364A85">
            <w:rPr>
              <w:rFonts w:ascii="Times New Roman" w:eastAsia="Times New Roman" w:hAnsi="Times New Roman" w:cs="Times New Roman"/>
              <w:color w:val="000000"/>
              <w:kern w:val="2"/>
              <w:sz w:val="24"/>
              <w:szCs w:val="24"/>
              <w14:ligatures w14:val="standardContextual"/>
            </w:rPr>
            <w:t xml:space="preserve">, Z. (2008). Costs to comply with SOX section 404. </w:t>
          </w:r>
          <w:r w:rsidRPr="00364A85">
            <w:rPr>
              <w:rFonts w:ascii="Times New Roman" w:eastAsia="Times New Roman" w:hAnsi="Times New Roman" w:cs="Times New Roman"/>
              <w:i/>
              <w:iCs/>
              <w:color w:val="000000"/>
              <w:kern w:val="2"/>
              <w:sz w:val="24"/>
              <w:szCs w:val="24"/>
              <w14:ligatures w14:val="standardContextual"/>
            </w:rPr>
            <w:t>Auditing: A Journal of Practice &amp; Theory</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27</w:t>
          </w:r>
          <w:r w:rsidRPr="00364A85">
            <w:rPr>
              <w:rFonts w:ascii="Times New Roman" w:eastAsia="Times New Roman" w:hAnsi="Times New Roman" w:cs="Times New Roman"/>
              <w:color w:val="000000"/>
              <w:kern w:val="2"/>
              <w:sz w:val="24"/>
              <w:szCs w:val="24"/>
              <w14:ligatures w14:val="standardContextual"/>
            </w:rPr>
            <w:t>(1), 169–186. https://doi.org/10.2308/aud.2008.27.1.169</w:t>
          </w:r>
        </w:p>
        <w:p w14:paraId="74E70252"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Li, Q., Lourie, B., Nekrasov, A., &amp; Shevlin, T. (2021). Employee Turnover and Firm Performance: Large-Sample Archival Evidence. </w:t>
          </w:r>
          <w:r w:rsidRPr="00364A85">
            <w:rPr>
              <w:rFonts w:ascii="Times New Roman" w:eastAsia="Times New Roman" w:hAnsi="Times New Roman" w:cs="Times New Roman"/>
              <w:i/>
              <w:iCs/>
              <w:color w:val="000000"/>
              <w:kern w:val="2"/>
              <w:sz w:val="24"/>
              <w:szCs w:val="24"/>
              <w14:ligatures w14:val="standardContextual"/>
            </w:rPr>
            <w:t>Management Science</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January 2022</w:t>
          </w:r>
          <w:r w:rsidRPr="00364A85">
            <w:rPr>
              <w:rFonts w:ascii="Times New Roman" w:eastAsia="Times New Roman" w:hAnsi="Times New Roman" w:cs="Times New Roman"/>
              <w:color w:val="000000"/>
              <w:kern w:val="2"/>
              <w:sz w:val="24"/>
              <w:szCs w:val="24"/>
              <w14:ligatures w14:val="standardContextual"/>
            </w:rPr>
            <w:t>, Forthcoming.</w:t>
          </w:r>
        </w:p>
        <w:p w14:paraId="5D51057D"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Li, X. (Daniel), Sun, L., &amp; </w:t>
          </w:r>
          <w:proofErr w:type="spellStart"/>
          <w:r w:rsidRPr="00364A85">
            <w:rPr>
              <w:rFonts w:ascii="Times New Roman" w:eastAsia="Times New Roman" w:hAnsi="Times New Roman" w:cs="Times New Roman"/>
              <w:color w:val="000000"/>
              <w:kern w:val="2"/>
              <w:sz w:val="24"/>
              <w:szCs w:val="24"/>
              <w14:ligatures w14:val="standardContextual"/>
            </w:rPr>
            <w:t>Ettredge</w:t>
          </w:r>
          <w:proofErr w:type="spellEnd"/>
          <w:r w:rsidRPr="00364A85">
            <w:rPr>
              <w:rFonts w:ascii="Times New Roman" w:eastAsia="Times New Roman" w:hAnsi="Times New Roman" w:cs="Times New Roman"/>
              <w:color w:val="000000"/>
              <w:kern w:val="2"/>
              <w:sz w:val="24"/>
              <w:szCs w:val="24"/>
              <w14:ligatures w14:val="standardContextual"/>
            </w:rPr>
            <w:t xml:space="preserve">, M. (2017). Auditor Selection Following Auditor Turnover: Do Peers’ Choices Matter? </w:t>
          </w:r>
          <w:r w:rsidRPr="00364A85">
            <w:rPr>
              <w:rFonts w:ascii="Times New Roman" w:eastAsia="Times New Roman" w:hAnsi="Times New Roman" w:cs="Times New Roman"/>
              <w:i/>
              <w:iCs/>
              <w:color w:val="000000"/>
              <w:kern w:val="2"/>
              <w:sz w:val="24"/>
              <w:szCs w:val="24"/>
              <w14:ligatures w14:val="standardContextual"/>
            </w:rPr>
            <w:t>Accounting, Organizations and Society</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57</w:t>
          </w:r>
          <w:r w:rsidRPr="00364A85">
            <w:rPr>
              <w:rFonts w:ascii="Times New Roman" w:eastAsia="Times New Roman" w:hAnsi="Times New Roman" w:cs="Times New Roman"/>
              <w:color w:val="000000"/>
              <w:kern w:val="2"/>
              <w:sz w:val="24"/>
              <w:szCs w:val="24"/>
              <w14:ligatures w14:val="standardContextual"/>
            </w:rPr>
            <w:t>, 73–87. https://doi.org/10.1016/j.aos.2017.03.001</w:t>
          </w:r>
        </w:p>
        <w:p w14:paraId="084C7670"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Loughran, T., &amp; </w:t>
          </w:r>
          <w:proofErr w:type="spellStart"/>
          <w:r w:rsidRPr="00364A85">
            <w:rPr>
              <w:rFonts w:ascii="Times New Roman" w:eastAsia="Times New Roman" w:hAnsi="Times New Roman" w:cs="Times New Roman"/>
              <w:color w:val="000000"/>
              <w:kern w:val="2"/>
              <w:sz w:val="24"/>
              <w:szCs w:val="24"/>
              <w14:ligatures w14:val="standardContextual"/>
            </w:rPr>
            <w:t>Mcdonald</w:t>
          </w:r>
          <w:proofErr w:type="spellEnd"/>
          <w:r w:rsidRPr="00364A85">
            <w:rPr>
              <w:rFonts w:ascii="Times New Roman" w:eastAsia="Times New Roman" w:hAnsi="Times New Roman" w:cs="Times New Roman"/>
              <w:color w:val="000000"/>
              <w:kern w:val="2"/>
              <w:sz w:val="24"/>
              <w:szCs w:val="24"/>
              <w14:ligatures w14:val="standardContextual"/>
            </w:rPr>
            <w:t xml:space="preserve">, B. (2016). Textual Analysis in Accounting and Finance: A Survey. </w:t>
          </w:r>
          <w:r w:rsidRPr="00364A85">
            <w:rPr>
              <w:rFonts w:ascii="Times New Roman" w:eastAsia="Times New Roman" w:hAnsi="Times New Roman" w:cs="Times New Roman"/>
              <w:i/>
              <w:iCs/>
              <w:color w:val="000000"/>
              <w:kern w:val="2"/>
              <w:sz w:val="24"/>
              <w:szCs w:val="24"/>
              <w14:ligatures w14:val="standardContextual"/>
            </w:rPr>
            <w:t>Journal of Accounting Research</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54</w:t>
          </w:r>
          <w:r w:rsidRPr="00364A85">
            <w:rPr>
              <w:rFonts w:ascii="Times New Roman" w:eastAsia="Times New Roman" w:hAnsi="Times New Roman" w:cs="Times New Roman"/>
              <w:color w:val="000000"/>
              <w:kern w:val="2"/>
              <w:sz w:val="24"/>
              <w:szCs w:val="24"/>
              <w14:ligatures w14:val="standardContextual"/>
            </w:rPr>
            <w:t>(4), 1187–1230. https://doi.org/10.1111/1475-679X.12123</w:t>
          </w:r>
        </w:p>
        <w:p w14:paraId="78685AFC"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Malmi, T., Bedford, D. S., Brühl, R., </w:t>
          </w:r>
          <w:proofErr w:type="spellStart"/>
          <w:r w:rsidRPr="00364A85">
            <w:rPr>
              <w:rFonts w:ascii="Times New Roman" w:eastAsia="Times New Roman" w:hAnsi="Times New Roman" w:cs="Times New Roman"/>
              <w:color w:val="000000"/>
              <w:kern w:val="2"/>
              <w:sz w:val="24"/>
              <w:szCs w:val="24"/>
              <w14:ligatures w14:val="standardContextual"/>
            </w:rPr>
            <w:t>Dergård</w:t>
          </w:r>
          <w:proofErr w:type="spellEnd"/>
          <w:r w:rsidRPr="00364A85">
            <w:rPr>
              <w:rFonts w:ascii="Times New Roman" w:eastAsia="Times New Roman" w:hAnsi="Times New Roman" w:cs="Times New Roman"/>
              <w:color w:val="000000"/>
              <w:kern w:val="2"/>
              <w:sz w:val="24"/>
              <w:szCs w:val="24"/>
              <w14:ligatures w14:val="standardContextual"/>
            </w:rPr>
            <w:t xml:space="preserve">, J., </w:t>
          </w:r>
          <w:proofErr w:type="spellStart"/>
          <w:r w:rsidRPr="00364A85">
            <w:rPr>
              <w:rFonts w:ascii="Times New Roman" w:eastAsia="Times New Roman" w:hAnsi="Times New Roman" w:cs="Times New Roman"/>
              <w:color w:val="000000"/>
              <w:kern w:val="2"/>
              <w:sz w:val="24"/>
              <w:szCs w:val="24"/>
              <w14:ligatures w14:val="standardContextual"/>
            </w:rPr>
            <w:t>Hoozée</w:t>
          </w:r>
          <w:proofErr w:type="spellEnd"/>
          <w:r w:rsidRPr="00364A85">
            <w:rPr>
              <w:rFonts w:ascii="Times New Roman" w:eastAsia="Times New Roman" w:hAnsi="Times New Roman" w:cs="Times New Roman"/>
              <w:color w:val="000000"/>
              <w:kern w:val="2"/>
              <w:sz w:val="24"/>
              <w:szCs w:val="24"/>
              <w14:ligatures w14:val="standardContextual"/>
            </w:rPr>
            <w:t xml:space="preserve">, S., </w:t>
          </w:r>
          <w:proofErr w:type="spellStart"/>
          <w:r w:rsidRPr="00364A85">
            <w:rPr>
              <w:rFonts w:ascii="Times New Roman" w:eastAsia="Times New Roman" w:hAnsi="Times New Roman" w:cs="Times New Roman"/>
              <w:color w:val="000000"/>
              <w:kern w:val="2"/>
              <w:sz w:val="24"/>
              <w:szCs w:val="24"/>
              <w14:ligatures w14:val="standardContextual"/>
            </w:rPr>
            <w:t>Janschek</w:t>
          </w:r>
          <w:proofErr w:type="spellEnd"/>
          <w:r w:rsidRPr="00364A85">
            <w:rPr>
              <w:rFonts w:ascii="Times New Roman" w:eastAsia="Times New Roman" w:hAnsi="Times New Roman" w:cs="Times New Roman"/>
              <w:color w:val="000000"/>
              <w:kern w:val="2"/>
              <w:sz w:val="24"/>
              <w:szCs w:val="24"/>
              <w14:ligatures w14:val="standardContextual"/>
            </w:rPr>
            <w:t xml:space="preserve">, O., Willert, J., Ax, C., Bednarek, P., Gosselin, M., Hanzlick, M., Israelsen, P., Johanson, D., Johanson, T., Madsen, D. Ø., Rohde, C., Sandelin, M., </w:t>
          </w:r>
          <w:proofErr w:type="spellStart"/>
          <w:r w:rsidRPr="00364A85">
            <w:rPr>
              <w:rFonts w:ascii="Times New Roman" w:eastAsia="Times New Roman" w:hAnsi="Times New Roman" w:cs="Times New Roman"/>
              <w:color w:val="000000"/>
              <w:kern w:val="2"/>
              <w:sz w:val="24"/>
              <w:szCs w:val="24"/>
              <w14:ligatures w14:val="standardContextual"/>
            </w:rPr>
            <w:t>Strömsten</w:t>
          </w:r>
          <w:proofErr w:type="spellEnd"/>
          <w:r w:rsidRPr="00364A85">
            <w:rPr>
              <w:rFonts w:ascii="Times New Roman" w:eastAsia="Times New Roman" w:hAnsi="Times New Roman" w:cs="Times New Roman"/>
              <w:color w:val="000000"/>
              <w:kern w:val="2"/>
              <w:sz w:val="24"/>
              <w:szCs w:val="24"/>
              <w14:ligatures w14:val="standardContextual"/>
            </w:rPr>
            <w:t xml:space="preserve">, T., &amp; Toldbod, T. (2020). Culture and Management Control Interdependence: An Analysis of Control Choices that Complement the Delegation of Authority in Western Cultural Regions. </w:t>
          </w:r>
          <w:r w:rsidRPr="00364A85">
            <w:rPr>
              <w:rFonts w:ascii="Times New Roman" w:eastAsia="Times New Roman" w:hAnsi="Times New Roman" w:cs="Times New Roman"/>
              <w:i/>
              <w:iCs/>
              <w:color w:val="000000"/>
              <w:kern w:val="2"/>
              <w:sz w:val="24"/>
              <w:szCs w:val="24"/>
              <w14:ligatures w14:val="standardContextual"/>
            </w:rPr>
            <w:t>Accounting, Organizations and Society</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86</w:t>
          </w:r>
          <w:r w:rsidRPr="00364A85">
            <w:rPr>
              <w:rFonts w:ascii="Times New Roman" w:eastAsia="Times New Roman" w:hAnsi="Times New Roman" w:cs="Times New Roman"/>
              <w:color w:val="000000"/>
              <w:kern w:val="2"/>
              <w:sz w:val="24"/>
              <w:szCs w:val="24"/>
              <w14:ligatures w14:val="standardContextual"/>
            </w:rPr>
            <w:t>, 101116. https://doi.org/10.1016/j.aos.2020.101116</w:t>
          </w:r>
        </w:p>
        <w:p w14:paraId="56776D82"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Noe, R. A., &amp; Barber, A. E. (1993). Willingness to accept mobility opportunities: Destination makes a difference. </w:t>
          </w:r>
          <w:r w:rsidRPr="00364A85">
            <w:rPr>
              <w:rFonts w:ascii="Times New Roman" w:eastAsia="Times New Roman" w:hAnsi="Times New Roman" w:cs="Times New Roman"/>
              <w:i/>
              <w:iCs/>
              <w:color w:val="000000"/>
              <w:kern w:val="2"/>
              <w:sz w:val="24"/>
              <w:szCs w:val="24"/>
              <w14:ligatures w14:val="standardContextual"/>
            </w:rPr>
            <w:t>Journal of Organizational Behavior</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14</w:t>
          </w:r>
          <w:r w:rsidRPr="00364A85">
            <w:rPr>
              <w:rFonts w:ascii="Times New Roman" w:eastAsia="Times New Roman" w:hAnsi="Times New Roman" w:cs="Times New Roman"/>
              <w:color w:val="000000"/>
              <w:kern w:val="2"/>
              <w:sz w:val="24"/>
              <w:szCs w:val="24"/>
              <w14:ligatures w14:val="standardContextual"/>
            </w:rPr>
            <w:t>(2), 159–175. https://doi.org/10.1002/job.4030140206</w:t>
          </w:r>
        </w:p>
        <w:p w14:paraId="3EB0E6B9"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PCAOB. (2010) </w:t>
          </w:r>
          <w:r w:rsidRPr="00364A85">
            <w:rPr>
              <w:rFonts w:ascii="Times New Roman" w:eastAsia="Times New Roman" w:hAnsi="Times New Roman" w:cs="Times New Roman"/>
              <w:i/>
              <w:iCs/>
              <w:color w:val="000000"/>
              <w:kern w:val="2"/>
              <w:sz w:val="24"/>
              <w:szCs w:val="24"/>
              <w14:ligatures w14:val="standardContextual"/>
            </w:rPr>
            <w:t>PCAOB 12 Identifying and Assessing Risks of Material Misstatement</w:t>
          </w:r>
          <w:r w:rsidRPr="00364A85">
            <w:rPr>
              <w:rFonts w:ascii="Times New Roman" w:eastAsia="Times New Roman" w:hAnsi="Times New Roman" w:cs="Times New Roman"/>
              <w:color w:val="000000"/>
              <w:kern w:val="2"/>
              <w:sz w:val="24"/>
              <w:szCs w:val="24"/>
              <w14:ligatures w14:val="standardContextual"/>
            </w:rPr>
            <w:t>. https://doi.org/10.1002/9781118979037.ch75</w:t>
          </w:r>
        </w:p>
        <w:p w14:paraId="23902086"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proofErr w:type="spellStart"/>
          <w:r w:rsidRPr="00364A85">
            <w:rPr>
              <w:rFonts w:ascii="Times New Roman" w:eastAsia="Times New Roman" w:hAnsi="Times New Roman" w:cs="Times New Roman"/>
              <w:color w:val="000000"/>
              <w:kern w:val="2"/>
              <w:sz w:val="24"/>
              <w:szCs w:val="24"/>
              <w14:ligatures w14:val="standardContextual"/>
            </w:rPr>
            <w:t>Pirinsky</w:t>
          </w:r>
          <w:proofErr w:type="spellEnd"/>
          <w:r w:rsidRPr="00364A85">
            <w:rPr>
              <w:rFonts w:ascii="Times New Roman" w:eastAsia="Times New Roman" w:hAnsi="Times New Roman" w:cs="Times New Roman"/>
              <w:color w:val="000000"/>
              <w:kern w:val="2"/>
              <w:sz w:val="24"/>
              <w:szCs w:val="24"/>
              <w14:ligatures w14:val="standardContextual"/>
            </w:rPr>
            <w:t xml:space="preserve">, C., &amp; Wang, Q. (2006). Does corporate </w:t>
          </w:r>
          <w:proofErr w:type="gramStart"/>
          <w:r w:rsidRPr="00364A85">
            <w:rPr>
              <w:rFonts w:ascii="Times New Roman" w:eastAsia="Times New Roman" w:hAnsi="Times New Roman" w:cs="Times New Roman"/>
              <w:color w:val="000000"/>
              <w:kern w:val="2"/>
              <w:sz w:val="24"/>
              <w:szCs w:val="24"/>
              <w14:ligatures w14:val="standardContextual"/>
            </w:rPr>
            <w:t>headquarters</w:t>
          </w:r>
          <w:proofErr w:type="gramEnd"/>
          <w:r w:rsidRPr="00364A85">
            <w:rPr>
              <w:rFonts w:ascii="Times New Roman" w:eastAsia="Times New Roman" w:hAnsi="Times New Roman" w:cs="Times New Roman"/>
              <w:color w:val="000000"/>
              <w:kern w:val="2"/>
              <w:sz w:val="24"/>
              <w:szCs w:val="24"/>
              <w14:ligatures w14:val="standardContextual"/>
            </w:rPr>
            <w:t xml:space="preserve"> location matter for stock returns? </w:t>
          </w:r>
          <w:r w:rsidRPr="00364A85">
            <w:rPr>
              <w:rFonts w:ascii="Times New Roman" w:eastAsia="Times New Roman" w:hAnsi="Times New Roman" w:cs="Times New Roman"/>
              <w:i/>
              <w:iCs/>
              <w:color w:val="000000"/>
              <w:kern w:val="2"/>
              <w:sz w:val="24"/>
              <w:szCs w:val="24"/>
              <w14:ligatures w14:val="standardContextual"/>
            </w:rPr>
            <w:t>Journal of Finance</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61</w:t>
          </w:r>
          <w:r w:rsidRPr="00364A85">
            <w:rPr>
              <w:rFonts w:ascii="Times New Roman" w:eastAsia="Times New Roman" w:hAnsi="Times New Roman" w:cs="Times New Roman"/>
              <w:color w:val="000000"/>
              <w:kern w:val="2"/>
              <w:sz w:val="24"/>
              <w:szCs w:val="24"/>
              <w14:ligatures w14:val="standardContextual"/>
            </w:rPr>
            <w:t>(4), 1991–2015. https://doi.org/10.1111/j.1540-6261.2006.00895.x</w:t>
          </w:r>
        </w:p>
        <w:p w14:paraId="6B3C7BEF"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Putnam, R. D. (1995). Bowling Alone: America’s Declining Social Capital. </w:t>
          </w:r>
          <w:r w:rsidRPr="00364A85">
            <w:rPr>
              <w:rFonts w:ascii="Times New Roman" w:eastAsia="Times New Roman" w:hAnsi="Times New Roman" w:cs="Times New Roman"/>
              <w:i/>
              <w:iCs/>
              <w:color w:val="000000"/>
              <w:kern w:val="2"/>
              <w:sz w:val="24"/>
              <w:szCs w:val="24"/>
              <w14:ligatures w14:val="standardContextual"/>
            </w:rPr>
            <w:t>Journal of Democracy</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6</w:t>
          </w:r>
          <w:r w:rsidRPr="00364A85">
            <w:rPr>
              <w:rFonts w:ascii="Times New Roman" w:eastAsia="Times New Roman" w:hAnsi="Times New Roman" w:cs="Times New Roman"/>
              <w:color w:val="000000"/>
              <w:kern w:val="2"/>
              <w:sz w:val="24"/>
              <w:szCs w:val="24"/>
              <w14:ligatures w14:val="standardContextual"/>
            </w:rPr>
            <w:t>(1), 65–78. https://doi.org/10.1353/jod.1995.0002</w:t>
          </w:r>
        </w:p>
        <w:p w14:paraId="0A6B7611"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Putnam, R. D. (2001). </w:t>
          </w:r>
          <w:r w:rsidRPr="00364A85">
            <w:rPr>
              <w:rFonts w:ascii="Times New Roman" w:eastAsia="Times New Roman" w:hAnsi="Times New Roman" w:cs="Times New Roman"/>
              <w:i/>
              <w:iCs/>
              <w:color w:val="000000"/>
              <w:kern w:val="2"/>
              <w:sz w:val="24"/>
              <w:szCs w:val="24"/>
              <w14:ligatures w14:val="standardContextual"/>
            </w:rPr>
            <w:t>Bowling Alone: Revisited and Updated: The Collapse and Revival of American Community</w:t>
          </w:r>
          <w:r w:rsidRPr="00364A85">
            <w:rPr>
              <w:rFonts w:ascii="Times New Roman" w:eastAsia="Times New Roman" w:hAnsi="Times New Roman" w:cs="Times New Roman"/>
              <w:color w:val="000000"/>
              <w:kern w:val="2"/>
              <w:sz w:val="24"/>
              <w:szCs w:val="24"/>
              <w14:ligatures w14:val="standardContextual"/>
            </w:rPr>
            <w:t>. Simon &amp; Schuster.</w:t>
          </w:r>
        </w:p>
        <w:p w14:paraId="579D0F90"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Rau, H., Popp, M., </w:t>
          </w:r>
          <w:proofErr w:type="spellStart"/>
          <w:r w:rsidRPr="00364A85">
            <w:rPr>
              <w:rFonts w:ascii="Times New Roman" w:eastAsia="Times New Roman" w:hAnsi="Times New Roman" w:cs="Times New Roman"/>
              <w:color w:val="000000"/>
              <w:kern w:val="2"/>
              <w:sz w:val="24"/>
              <w:szCs w:val="24"/>
              <w14:ligatures w14:val="standardContextual"/>
            </w:rPr>
            <w:t>Namberger</w:t>
          </w:r>
          <w:proofErr w:type="spellEnd"/>
          <w:r w:rsidRPr="00364A85">
            <w:rPr>
              <w:rFonts w:ascii="Times New Roman" w:eastAsia="Times New Roman" w:hAnsi="Times New Roman" w:cs="Times New Roman"/>
              <w:color w:val="000000"/>
              <w:kern w:val="2"/>
              <w:sz w:val="24"/>
              <w:szCs w:val="24"/>
              <w14:ligatures w14:val="standardContextual"/>
            </w:rPr>
            <w:t xml:space="preserve">, P., &amp; </w:t>
          </w:r>
          <w:proofErr w:type="spellStart"/>
          <w:r w:rsidRPr="00364A85">
            <w:rPr>
              <w:rFonts w:ascii="Times New Roman" w:eastAsia="Times New Roman" w:hAnsi="Times New Roman" w:cs="Times New Roman"/>
              <w:color w:val="000000"/>
              <w:kern w:val="2"/>
              <w:sz w:val="24"/>
              <w:szCs w:val="24"/>
              <w14:ligatures w14:val="standardContextual"/>
            </w:rPr>
            <w:t>Mögele</w:t>
          </w:r>
          <w:proofErr w:type="spellEnd"/>
          <w:r w:rsidRPr="00364A85">
            <w:rPr>
              <w:rFonts w:ascii="Times New Roman" w:eastAsia="Times New Roman" w:hAnsi="Times New Roman" w:cs="Times New Roman"/>
              <w:color w:val="000000"/>
              <w:kern w:val="2"/>
              <w:sz w:val="24"/>
              <w:szCs w:val="24"/>
              <w14:ligatures w14:val="standardContextual"/>
            </w:rPr>
            <w:t xml:space="preserve">, M. (2019). Short Distance, Big Impact: The Effects of Intra-City Workplace Relocation on Staff Mobility Practices. </w:t>
          </w:r>
          <w:r w:rsidRPr="00364A85">
            <w:rPr>
              <w:rFonts w:ascii="Times New Roman" w:eastAsia="Times New Roman" w:hAnsi="Times New Roman" w:cs="Times New Roman"/>
              <w:i/>
              <w:iCs/>
              <w:color w:val="000000"/>
              <w:kern w:val="2"/>
              <w:sz w:val="24"/>
              <w:szCs w:val="24"/>
              <w14:ligatures w14:val="standardContextual"/>
            </w:rPr>
            <w:t>Journal of Transport Geography</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79</w:t>
          </w:r>
          <w:r w:rsidRPr="00364A85">
            <w:rPr>
              <w:rFonts w:ascii="Times New Roman" w:eastAsia="Times New Roman" w:hAnsi="Times New Roman" w:cs="Times New Roman"/>
              <w:color w:val="000000"/>
              <w:kern w:val="2"/>
              <w:sz w:val="24"/>
              <w:szCs w:val="24"/>
              <w14:ligatures w14:val="standardContextual"/>
            </w:rPr>
            <w:t>, 102483. https://doi.org/10.1016/j.jtrangeo.2019.102483</w:t>
          </w:r>
        </w:p>
        <w:p w14:paraId="3F6AF9A7"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Repko, M. (2018, November 30). McKesson, Nation’s Sixth Largest Company, is Moving Corporate HQ from California to Irving. </w:t>
          </w:r>
          <w:r w:rsidRPr="00364A85">
            <w:rPr>
              <w:rFonts w:ascii="Times New Roman" w:eastAsia="Times New Roman" w:hAnsi="Times New Roman" w:cs="Times New Roman"/>
              <w:i/>
              <w:iCs/>
              <w:color w:val="000000"/>
              <w:kern w:val="2"/>
              <w:sz w:val="24"/>
              <w:szCs w:val="24"/>
              <w14:ligatures w14:val="standardContextual"/>
            </w:rPr>
            <w:t>The Dallas Morning News</w:t>
          </w:r>
          <w:r w:rsidRPr="00364A85">
            <w:rPr>
              <w:rFonts w:ascii="Times New Roman" w:eastAsia="Times New Roman" w:hAnsi="Times New Roman" w:cs="Times New Roman"/>
              <w:color w:val="000000"/>
              <w:kern w:val="2"/>
              <w:sz w:val="24"/>
              <w:szCs w:val="24"/>
              <w14:ligatures w14:val="standardContextual"/>
            </w:rPr>
            <w:t>, 1–6.</w:t>
          </w:r>
        </w:p>
        <w:p w14:paraId="05F85C8E"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proofErr w:type="spellStart"/>
          <w:r w:rsidRPr="00364A85">
            <w:rPr>
              <w:rFonts w:ascii="Times New Roman" w:eastAsia="Times New Roman" w:hAnsi="Times New Roman" w:cs="Times New Roman"/>
              <w:color w:val="000000"/>
              <w:kern w:val="2"/>
              <w:sz w:val="24"/>
              <w:szCs w:val="24"/>
              <w14:ligatures w14:val="standardContextual"/>
            </w:rPr>
            <w:t>Rupasingha</w:t>
          </w:r>
          <w:proofErr w:type="spellEnd"/>
          <w:r w:rsidRPr="00364A85">
            <w:rPr>
              <w:rFonts w:ascii="Times New Roman" w:eastAsia="Times New Roman" w:hAnsi="Times New Roman" w:cs="Times New Roman"/>
              <w:color w:val="000000"/>
              <w:kern w:val="2"/>
              <w:sz w:val="24"/>
              <w:szCs w:val="24"/>
              <w14:ligatures w14:val="standardContextual"/>
            </w:rPr>
            <w:t xml:space="preserve">, A., Goetz, S. J., &amp; Freshwater, D. (2006). The production of social capital in US counties. </w:t>
          </w:r>
          <w:r w:rsidRPr="00364A85">
            <w:rPr>
              <w:rFonts w:ascii="Times New Roman" w:eastAsia="Times New Roman" w:hAnsi="Times New Roman" w:cs="Times New Roman"/>
              <w:i/>
              <w:iCs/>
              <w:color w:val="000000"/>
              <w:kern w:val="2"/>
              <w:sz w:val="24"/>
              <w:szCs w:val="24"/>
              <w14:ligatures w14:val="standardContextual"/>
            </w:rPr>
            <w:t xml:space="preserve">Journal of </w:t>
          </w:r>
          <w:proofErr w:type="gramStart"/>
          <w:r w:rsidRPr="00364A85">
            <w:rPr>
              <w:rFonts w:ascii="Times New Roman" w:eastAsia="Times New Roman" w:hAnsi="Times New Roman" w:cs="Times New Roman"/>
              <w:i/>
              <w:iCs/>
              <w:color w:val="000000"/>
              <w:kern w:val="2"/>
              <w:sz w:val="24"/>
              <w:szCs w:val="24"/>
              <w14:ligatures w14:val="standardContextual"/>
            </w:rPr>
            <w:t>Socio-Economics</w:t>
          </w:r>
          <w:proofErr w:type="gramEnd"/>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35</w:t>
          </w:r>
          <w:r w:rsidRPr="00364A85">
            <w:rPr>
              <w:rFonts w:ascii="Times New Roman" w:eastAsia="Times New Roman" w:hAnsi="Times New Roman" w:cs="Times New Roman"/>
              <w:color w:val="000000"/>
              <w:kern w:val="2"/>
              <w:sz w:val="24"/>
              <w:szCs w:val="24"/>
              <w14:ligatures w14:val="standardContextual"/>
            </w:rPr>
            <w:t>(1), 83–101. https://doi.org/10.1016/j.socec.2005.11.001</w:t>
          </w:r>
        </w:p>
        <w:p w14:paraId="240361BE"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Securities and Exchange Commission. (2019).</w:t>
          </w:r>
          <w:r w:rsidRPr="00364A85">
            <w:rPr>
              <w:rFonts w:ascii="Times New Roman" w:eastAsia="Times New Roman" w:hAnsi="Times New Roman" w:cs="Times New Roman"/>
              <w:i/>
              <w:iCs/>
              <w:color w:val="000000"/>
              <w:kern w:val="2"/>
              <w:sz w:val="24"/>
              <w:szCs w:val="24"/>
              <w14:ligatures w14:val="standardContextual"/>
            </w:rPr>
            <w:t xml:space="preserve"> Modernization of Regulation S-K Items 101, 103, and 105.</w:t>
          </w:r>
          <w:r w:rsidRPr="00364A85">
            <w:rPr>
              <w:rFonts w:ascii="Times New Roman" w:eastAsia="Times New Roman" w:hAnsi="Times New Roman" w:cs="Times New Roman"/>
              <w:color w:val="000000"/>
              <w:kern w:val="2"/>
              <w:sz w:val="24"/>
              <w:szCs w:val="24"/>
              <w14:ligatures w14:val="standardContextual"/>
            </w:rPr>
            <w:t xml:space="preserve"> https://www.sec.gov/rules/proposed/ 2019/33-10668.pdf</w:t>
          </w:r>
        </w:p>
        <w:p w14:paraId="30C98BAB"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lastRenderedPageBreak/>
            <w:t xml:space="preserve">Shaw, J. D., Duffy, M. K., Johnson, J. L., &amp; Lockhart, D. E. (2005). Turnover, Social Capital Losses, and Performance. </w:t>
          </w:r>
          <w:r w:rsidRPr="00364A85">
            <w:rPr>
              <w:rFonts w:ascii="Times New Roman" w:eastAsia="Times New Roman" w:hAnsi="Times New Roman" w:cs="Times New Roman"/>
              <w:i/>
              <w:iCs/>
              <w:color w:val="000000"/>
              <w:kern w:val="2"/>
              <w:sz w:val="24"/>
              <w:szCs w:val="24"/>
              <w14:ligatures w14:val="standardContextual"/>
            </w:rPr>
            <w:t>Academy of Management Journal</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48</w:t>
          </w:r>
          <w:r w:rsidRPr="00364A85">
            <w:rPr>
              <w:rFonts w:ascii="Times New Roman" w:eastAsia="Times New Roman" w:hAnsi="Times New Roman" w:cs="Times New Roman"/>
              <w:color w:val="000000"/>
              <w:kern w:val="2"/>
              <w:sz w:val="24"/>
              <w:szCs w:val="24"/>
              <w14:ligatures w14:val="standardContextual"/>
            </w:rPr>
            <w:t>(4), 594–606. https://doi.org/10.5465/AMJ.2005.17843940</w:t>
          </w:r>
        </w:p>
        <w:p w14:paraId="3EFFEA33"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proofErr w:type="spellStart"/>
          <w:r w:rsidRPr="00364A85">
            <w:rPr>
              <w:rFonts w:ascii="Times New Roman" w:eastAsia="Times New Roman" w:hAnsi="Times New Roman" w:cs="Times New Roman"/>
              <w:color w:val="000000"/>
              <w:kern w:val="2"/>
              <w:sz w:val="24"/>
              <w:szCs w:val="24"/>
              <w14:ligatures w14:val="standardContextual"/>
            </w:rPr>
            <w:t>Simunic</w:t>
          </w:r>
          <w:proofErr w:type="spellEnd"/>
          <w:r w:rsidRPr="00364A85">
            <w:rPr>
              <w:rFonts w:ascii="Times New Roman" w:eastAsia="Times New Roman" w:hAnsi="Times New Roman" w:cs="Times New Roman"/>
              <w:color w:val="000000"/>
              <w:kern w:val="2"/>
              <w:sz w:val="24"/>
              <w:szCs w:val="24"/>
              <w14:ligatures w14:val="standardContextual"/>
            </w:rPr>
            <w:t xml:space="preserve">, D. A. (1980). The Pricing of Audit Services: Theory and Evidence. </w:t>
          </w:r>
          <w:r w:rsidRPr="00364A85">
            <w:rPr>
              <w:rFonts w:ascii="Times New Roman" w:eastAsia="Times New Roman" w:hAnsi="Times New Roman" w:cs="Times New Roman"/>
              <w:i/>
              <w:iCs/>
              <w:color w:val="000000"/>
              <w:kern w:val="2"/>
              <w:sz w:val="24"/>
              <w:szCs w:val="24"/>
              <w14:ligatures w14:val="standardContextual"/>
            </w:rPr>
            <w:t>Journal of Accounting Research</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18</w:t>
          </w:r>
          <w:r w:rsidRPr="00364A85">
            <w:rPr>
              <w:rFonts w:ascii="Times New Roman" w:eastAsia="Times New Roman" w:hAnsi="Times New Roman" w:cs="Times New Roman"/>
              <w:color w:val="000000"/>
              <w:kern w:val="2"/>
              <w:sz w:val="24"/>
              <w:szCs w:val="24"/>
              <w14:ligatures w14:val="standardContextual"/>
            </w:rPr>
            <w:t>(1), 161–190. https://doi.org/10.2307/2490397</w:t>
          </w:r>
        </w:p>
        <w:p w14:paraId="7AC88083"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proofErr w:type="spellStart"/>
          <w:r w:rsidRPr="00364A85">
            <w:rPr>
              <w:rFonts w:ascii="Times New Roman" w:eastAsia="Times New Roman" w:hAnsi="Times New Roman" w:cs="Times New Roman"/>
              <w:color w:val="000000"/>
              <w:kern w:val="2"/>
              <w:sz w:val="24"/>
              <w:szCs w:val="24"/>
              <w14:ligatures w14:val="standardContextual"/>
            </w:rPr>
            <w:t>Sprumont</w:t>
          </w:r>
          <w:proofErr w:type="spellEnd"/>
          <w:r w:rsidRPr="00364A85">
            <w:rPr>
              <w:rFonts w:ascii="Times New Roman" w:eastAsia="Times New Roman" w:hAnsi="Times New Roman" w:cs="Times New Roman"/>
              <w:color w:val="000000"/>
              <w:kern w:val="2"/>
              <w:sz w:val="24"/>
              <w:szCs w:val="24"/>
              <w14:ligatures w14:val="standardContextual"/>
            </w:rPr>
            <w:t xml:space="preserve">, F., Benam, A. S., &amp; Viti, F. (2020). Short- and Long-Term Impacts of Workplace Relocation: A Survey and Experience from the University of Luxembourg Relocation. </w:t>
          </w:r>
          <w:r w:rsidRPr="00364A85">
            <w:rPr>
              <w:rFonts w:ascii="Times New Roman" w:eastAsia="Times New Roman" w:hAnsi="Times New Roman" w:cs="Times New Roman"/>
              <w:i/>
              <w:iCs/>
              <w:color w:val="000000"/>
              <w:kern w:val="2"/>
              <w:sz w:val="24"/>
              <w:szCs w:val="24"/>
              <w14:ligatures w14:val="standardContextual"/>
            </w:rPr>
            <w:t>Sustainability</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12</w:t>
          </w:r>
          <w:r w:rsidRPr="00364A85">
            <w:rPr>
              <w:rFonts w:ascii="Times New Roman" w:eastAsia="Times New Roman" w:hAnsi="Times New Roman" w:cs="Times New Roman"/>
              <w:color w:val="000000"/>
              <w:kern w:val="2"/>
              <w:sz w:val="24"/>
              <w:szCs w:val="24"/>
              <w14:ligatures w14:val="standardContextual"/>
            </w:rPr>
            <w:t>(18), 7506. https://doi.org/10.3390/su12187506</w:t>
          </w:r>
        </w:p>
        <w:p w14:paraId="78F7278F"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Strauss-Kahn, V., &amp; Vives, X. (2009). Why and where do headquarters move? </w:t>
          </w:r>
          <w:r w:rsidRPr="00364A85">
            <w:rPr>
              <w:rFonts w:ascii="Times New Roman" w:eastAsia="Times New Roman" w:hAnsi="Times New Roman" w:cs="Times New Roman"/>
              <w:i/>
              <w:iCs/>
              <w:color w:val="000000"/>
              <w:kern w:val="2"/>
              <w:sz w:val="24"/>
              <w:szCs w:val="24"/>
              <w14:ligatures w14:val="standardContextual"/>
            </w:rPr>
            <w:t>Regional Science and Urban Economics</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39</w:t>
          </w:r>
          <w:r w:rsidRPr="00364A85">
            <w:rPr>
              <w:rFonts w:ascii="Times New Roman" w:eastAsia="Times New Roman" w:hAnsi="Times New Roman" w:cs="Times New Roman"/>
              <w:color w:val="000000"/>
              <w:kern w:val="2"/>
              <w:sz w:val="24"/>
              <w:szCs w:val="24"/>
              <w14:ligatures w14:val="standardContextual"/>
            </w:rPr>
            <w:t>(2), 168–186. https://doi.org/10.1016/j.regsciurbeco.2008.07.001</w:t>
          </w:r>
        </w:p>
        <w:p w14:paraId="3CB59076"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proofErr w:type="spellStart"/>
          <w:r w:rsidRPr="00364A85">
            <w:rPr>
              <w:rFonts w:ascii="Times New Roman" w:eastAsia="Times New Roman" w:hAnsi="Times New Roman" w:cs="Times New Roman"/>
              <w:color w:val="000000"/>
              <w:kern w:val="2"/>
              <w:sz w:val="24"/>
              <w:szCs w:val="24"/>
              <w14:ligatures w14:val="standardContextual"/>
            </w:rPr>
            <w:t>Stroiman</w:t>
          </w:r>
          <w:proofErr w:type="spellEnd"/>
          <w:r w:rsidRPr="00364A85">
            <w:rPr>
              <w:rFonts w:ascii="Times New Roman" w:eastAsia="Times New Roman" w:hAnsi="Times New Roman" w:cs="Times New Roman"/>
              <w:color w:val="000000"/>
              <w:kern w:val="2"/>
              <w:sz w:val="24"/>
              <w:szCs w:val="24"/>
              <w14:ligatures w14:val="standardContextual"/>
            </w:rPr>
            <w:t xml:space="preserve">, M. (2021). </w:t>
          </w:r>
          <w:r w:rsidRPr="00364A85">
            <w:rPr>
              <w:rFonts w:ascii="Times New Roman" w:eastAsia="Times New Roman" w:hAnsi="Times New Roman" w:cs="Times New Roman"/>
              <w:i/>
              <w:iCs/>
              <w:color w:val="000000"/>
              <w:kern w:val="2"/>
              <w:sz w:val="24"/>
              <w:szCs w:val="24"/>
              <w14:ligatures w14:val="standardContextual"/>
            </w:rPr>
            <w:t>The Emotional Toll of Employee Relocation</w:t>
          </w:r>
          <w:r w:rsidRPr="00364A85">
            <w:rPr>
              <w:rFonts w:ascii="Times New Roman" w:eastAsia="Times New Roman" w:hAnsi="Times New Roman" w:cs="Times New Roman"/>
              <w:color w:val="000000"/>
              <w:kern w:val="2"/>
              <w:sz w:val="24"/>
              <w:szCs w:val="24"/>
              <w14:ligatures w14:val="standardContextual"/>
            </w:rPr>
            <w:t xml:space="preserve">. </w:t>
          </w:r>
          <w:proofErr w:type="spellStart"/>
          <w:r w:rsidRPr="00364A85">
            <w:rPr>
              <w:rFonts w:ascii="Times New Roman" w:eastAsia="Times New Roman" w:hAnsi="Times New Roman" w:cs="Times New Roman"/>
              <w:color w:val="000000"/>
              <w:kern w:val="2"/>
              <w:sz w:val="24"/>
              <w:szCs w:val="24"/>
              <w14:ligatures w14:val="standardContextual"/>
            </w:rPr>
            <w:t>WHR</w:t>
          </w:r>
          <w:proofErr w:type="spellEnd"/>
          <w:r w:rsidRPr="00364A85">
            <w:rPr>
              <w:rFonts w:ascii="Times New Roman" w:eastAsia="Times New Roman" w:hAnsi="Times New Roman" w:cs="Times New Roman"/>
              <w:color w:val="000000"/>
              <w:kern w:val="2"/>
              <w:sz w:val="24"/>
              <w:szCs w:val="24"/>
              <w14:ligatures w14:val="standardContextual"/>
            </w:rPr>
            <w:t xml:space="preserve"> Global Employee Relocation. https://www.whrg.com/blog/the-emotional-toll-of-employee-relocation/</w:t>
          </w:r>
        </w:p>
        <w:p w14:paraId="1C73CDEB"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proofErr w:type="spellStart"/>
          <w:r w:rsidRPr="00364A85">
            <w:rPr>
              <w:rFonts w:ascii="Times New Roman" w:eastAsia="Times New Roman" w:hAnsi="Times New Roman" w:cs="Times New Roman"/>
              <w:color w:val="000000"/>
              <w:kern w:val="2"/>
              <w:sz w:val="24"/>
              <w:szCs w:val="24"/>
              <w14:ligatures w14:val="standardContextual"/>
            </w:rPr>
            <w:t>Swanquist</w:t>
          </w:r>
          <w:proofErr w:type="spellEnd"/>
          <w:r w:rsidRPr="00364A85">
            <w:rPr>
              <w:rFonts w:ascii="Times New Roman" w:eastAsia="Times New Roman" w:hAnsi="Times New Roman" w:cs="Times New Roman"/>
              <w:color w:val="000000"/>
              <w:kern w:val="2"/>
              <w:sz w:val="24"/>
              <w:szCs w:val="24"/>
              <w14:ligatures w14:val="standardContextual"/>
            </w:rPr>
            <w:t xml:space="preserve">, Q. T., &amp; Whited, R. L. (2015). Do Clients Avoid “Contaminated” Offices? The Economic Consequences of Low-quality Audits. </w:t>
          </w:r>
          <w:r w:rsidRPr="00364A85">
            <w:rPr>
              <w:rFonts w:ascii="Times New Roman" w:eastAsia="Times New Roman" w:hAnsi="Times New Roman" w:cs="Times New Roman"/>
              <w:i/>
              <w:iCs/>
              <w:color w:val="000000"/>
              <w:kern w:val="2"/>
              <w:sz w:val="24"/>
              <w:szCs w:val="24"/>
              <w14:ligatures w14:val="standardContextual"/>
            </w:rPr>
            <w:t>The Accounting Review</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90</w:t>
          </w:r>
          <w:r w:rsidRPr="00364A85">
            <w:rPr>
              <w:rFonts w:ascii="Times New Roman" w:eastAsia="Times New Roman" w:hAnsi="Times New Roman" w:cs="Times New Roman"/>
              <w:color w:val="000000"/>
              <w:kern w:val="2"/>
              <w:sz w:val="24"/>
              <w:szCs w:val="24"/>
              <w14:ligatures w14:val="standardContextual"/>
            </w:rPr>
            <w:t>(6), 2537–2570. https://doi.org/10.2308/accr-51113</w:t>
          </w:r>
        </w:p>
        <w:p w14:paraId="21AF7C0D" w14:textId="77777777" w:rsidR="00364A85" w:rsidRPr="00364A85" w:rsidRDefault="00364A85" w:rsidP="0055163D">
          <w:pPr>
            <w:autoSpaceDE w:val="0"/>
            <w:autoSpaceDN w:val="0"/>
            <w:spacing w:after="0" w:line="240" w:lineRule="auto"/>
            <w:ind w:left="720" w:hanging="720"/>
            <w:rPr>
              <w:rFonts w:ascii="Times New Roman" w:eastAsia="Times New Roman"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xml:space="preserve">Zarabi, Z., &amp; Lord, S. (2019). Toward More Sustainable Behavior: A Systematic Review of the Impacts of Involuntary Workplace Relocation on Travel Mode Choice. </w:t>
          </w:r>
          <w:r w:rsidRPr="00364A85">
            <w:rPr>
              <w:rFonts w:ascii="Times New Roman" w:eastAsia="Times New Roman" w:hAnsi="Times New Roman" w:cs="Times New Roman"/>
              <w:i/>
              <w:iCs/>
              <w:color w:val="000000"/>
              <w:kern w:val="2"/>
              <w:sz w:val="24"/>
              <w:szCs w:val="24"/>
              <w14:ligatures w14:val="standardContextual"/>
            </w:rPr>
            <w:t>Journal of Planning Literature</w:t>
          </w:r>
          <w:r w:rsidRPr="00364A85">
            <w:rPr>
              <w:rFonts w:ascii="Times New Roman" w:eastAsia="Times New Roman" w:hAnsi="Times New Roman" w:cs="Times New Roman"/>
              <w:color w:val="000000"/>
              <w:kern w:val="2"/>
              <w:sz w:val="24"/>
              <w:szCs w:val="24"/>
              <w14:ligatures w14:val="standardContextual"/>
            </w:rPr>
            <w:t xml:space="preserve">, </w:t>
          </w:r>
          <w:r w:rsidRPr="00364A85">
            <w:rPr>
              <w:rFonts w:ascii="Times New Roman" w:eastAsia="Times New Roman" w:hAnsi="Times New Roman" w:cs="Times New Roman"/>
              <w:i/>
              <w:iCs/>
              <w:color w:val="000000"/>
              <w:kern w:val="2"/>
              <w:sz w:val="24"/>
              <w:szCs w:val="24"/>
              <w14:ligatures w14:val="standardContextual"/>
            </w:rPr>
            <w:t>34</w:t>
          </w:r>
          <w:r w:rsidRPr="00364A85">
            <w:rPr>
              <w:rFonts w:ascii="Times New Roman" w:eastAsia="Times New Roman" w:hAnsi="Times New Roman" w:cs="Times New Roman"/>
              <w:color w:val="000000"/>
              <w:kern w:val="2"/>
              <w:sz w:val="24"/>
              <w:szCs w:val="24"/>
              <w14:ligatures w14:val="standardContextual"/>
            </w:rPr>
            <w:t>(1), 38–58. https://doi.org/10.1177/0885412218802467</w:t>
          </w:r>
        </w:p>
        <w:p w14:paraId="6436C3BB" w14:textId="77777777" w:rsidR="00364A85" w:rsidRPr="00364A85" w:rsidRDefault="00364A85" w:rsidP="0055163D">
          <w:pPr>
            <w:spacing w:after="0" w:line="240" w:lineRule="auto"/>
            <w:ind w:left="720" w:hanging="720"/>
            <w:rPr>
              <w:rFonts w:ascii="Times New Roman" w:eastAsia="Aptos" w:hAnsi="Times New Roman" w:cs="Times New Roman"/>
              <w:color w:val="000000"/>
              <w:kern w:val="2"/>
              <w:sz w:val="24"/>
              <w:szCs w:val="24"/>
              <w14:ligatures w14:val="standardContextual"/>
            </w:rPr>
          </w:pPr>
          <w:r w:rsidRPr="00364A85">
            <w:rPr>
              <w:rFonts w:ascii="Times New Roman" w:eastAsia="Times New Roman" w:hAnsi="Times New Roman" w:cs="Times New Roman"/>
              <w:color w:val="000000"/>
              <w:kern w:val="2"/>
              <w:sz w:val="24"/>
              <w:szCs w:val="24"/>
              <w14:ligatures w14:val="standardContextual"/>
            </w:rPr>
            <w:t> </w:t>
          </w:r>
        </w:p>
      </w:sdtContent>
    </w:sdt>
    <w:p w14:paraId="2733C9F9" w14:textId="48D46DA6" w:rsidR="003C0E50" w:rsidRPr="008B39E1" w:rsidRDefault="001A26F6" w:rsidP="001A26F6">
      <w:pPr>
        <w:spacing w:after="0" w:line="240" w:lineRule="auto"/>
        <w:jc w:val="center"/>
        <w:rPr>
          <w:rFonts w:ascii="Times New Roman" w:hAnsi="Times New Roman" w:cs="Times New Roman"/>
          <w:sz w:val="24"/>
          <w:szCs w:val="24"/>
        </w:rPr>
      </w:pPr>
      <w:r w:rsidRPr="001A26F6">
        <w:rPr>
          <w:rFonts w:ascii="Times New Roman" w:hAnsi="Times New Roman" w:cs="Times New Roman"/>
          <w:sz w:val="24"/>
          <w:szCs w:val="24"/>
        </w:rPr>
        <w:t xml:space="preserve"> </w:t>
      </w:r>
      <w:r w:rsidR="000A224C" w:rsidRPr="008B39E1">
        <w:rPr>
          <w:rFonts w:ascii="Times New Roman" w:hAnsi="Times New Roman" w:cs="Times New Roman"/>
          <w:sz w:val="24"/>
          <w:szCs w:val="24"/>
        </w:rPr>
        <w:t xml:space="preserve"> </w:t>
      </w:r>
    </w:p>
    <w:p w14:paraId="64261B9F" w14:textId="77777777" w:rsidR="003C0E50" w:rsidRPr="008B39E1" w:rsidRDefault="003C0E50" w:rsidP="000F0F5A">
      <w:pPr>
        <w:spacing w:after="0" w:line="240" w:lineRule="auto"/>
        <w:rPr>
          <w:rFonts w:ascii="Times New Roman" w:hAnsi="Times New Roman" w:cs="Times New Roman"/>
          <w:sz w:val="24"/>
          <w:szCs w:val="24"/>
        </w:rPr>
      </w:pPr>
      <w:r w:rsidRPr="008B39E1">
        <w:rPr>
          <w:rFonts w:ascii="Times New Roman" w:hAnsi="Times New Roman" w:cs="Times New Roman"/>
          <w:sz w:val="24"/>
          <w:szCs w:val="24"/>
        </w:rPr>
        <w:br w:type="page"/>
      </w:r>
    </w:p>
    <w:p w14:paraId="158D8316" w14:textId="08D8118E" w:rsidR="00576C11" w:rsidRPr="008B39E1" w:rsidRDefault="00576C11"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lastRenderedPageBreak/>
        <w:t>APPENDIX A</w:t>
      </w:r>
    </w:p>
    <w:p w14:paraId="70EAAFA4" w14:textId="77777777" w:rsidR="00576C11" w:rsidRPr="008B39E1" w:rsidRDefault="00576C11"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Variable Definitions</w:t>
      </w:r>
    </w:p>
    <w:p w14:paraId="76611FCF" w14:textId="77777777" w:rsidR="00576C11" w:rsidRPr="008B39E1" w:rsidRDefault="00576C11" w:rsidP="000F0F5A">
      <w:pPr>
        <w:spacing w:after="0" w:line="240" w:lineRule="auto"/>
        <w:jc w:val="center"/>
        <w:rPr>
          <w:rFonts w:ascii="Times New Roman" w:hAnsi="Times New Roman" w:cs="Times New Roman"/>
          <w:b/>
          <w:bCs/>
          <w:sz w:val="24"/>
          <w:szCs w:val="24"/>
        </w:rPr>
      </w:pPr>
    </w:p>
    <w:tbl>
      <w:tblPr>
        <w:tblW w:w="5337" w:type="pct"/>
        <w:jc w:val="center"/>
        <w:tblLook w:val="04A0" w:firstRow="1" w:lastRow="0" w:firstColumn="1" w:lastColumn="0" w:noHBand="0" w:noVBand="1"/>
      </w:tblPr>
      <w:tblGrid>
        <w:gridCol w:w="3852"/>
        <w:gridCol w:w="486"/>
        <w:gridCol w:w="5653"/>
      </w:tblGrid>
      <w:tr w:rsidR="00C500AD" w:rsidRPr="008B39E1" w14:paraId="6C24E6CA" w14:textId="77777777" w:rsidTr="00D727A4">
        <w:trPr>
          <w:trHeight w:val="315"/>
          <w:jc w:val="center"/>
        </w:trPr>
        <w:tc>
          <w:tcPr>
            <w:tcW w:w="1928" w:type="pct"/>
            <w:tcBorders>
              <w:top w:val="nil"/>
              <w:left w:val="nil"/>
              <w:bottom w:val="single" w:sz="4" w:space="0" w:color="auto"/>
              <w:right w:val="nil"/>
            </w:tcBorders>
            <w:shd w:val="clear" w:color="auto" w:fill="auto"/>
            <w:noWrap/>
            <w:hideMark/>
          </w:tcPr>
          <w:p w14:paraId="787B6A6B" w14:textId="77777777" w:rsidR="00C500AD" w:rsidRPr="008B39E1" w:rsidRDefault="00C500AD" w:rsidP="000F0F5A">
            <w:pPr>
              <w:spacing w:after="0" w:line="240" w:lineRule="auto"/>
              <w:jc w:val="center"/>
              <w:rPr>
                <w:rFonts w:ascii="Times New Roman" w:eastAsia="Times New Roman" w:hAnsi="Times New Roman" w:cs="Times New Roman"/>
                <w:b/>
                <w:bCs/>
                <w:color w:val="000000"/>
                <w:sz w:val="24"/>
                <w:szCs w:val="24"/>
              </w:rPr>
            </w:pPr>
            <w:r w:rsidRPr="008B39E1">
              <w:rPr>
                <w:rFonts w:ascii="Times New Roman" w:eastAsia="Times New Roman" w:hAnsi="Times New Roman" w:cs="Times New Roman"/>
                <w:b/>
                <w:bCs/>
                <w:color w:val="000000"/>
                <w:sz w:val="24"/>
                <w:szCs w:val="24"/>
              </w:rPr>
              <w:t>Variable</w:t>
            </w:r>
          </w:p>
        </w:tc>
        <w:tc>
          <w:tcPr>
            <w:tcW w:w="243" w:type="pct"/>
            <w:tcBorders>
              <w:top w:val="nil"/>
              <w:left w:val="nil"/>
              <w:bottom w:val="nil"/>
              <w:right w:val="nil"/>
            </w:tcBorders>
            <w:shd w:val="clear" w:color="auto" w:fill="auto"/>
            <w:noWrap/>
            <w:hideMark/>
          </w:tcPr>
          <w:p w14:paraId="31AE9544" w14:textId="77777777" w:rsidR="00C500AD" w:rsidRPr="008B39E1" w:rsidRDefault="00C500AD" w:rsidP="000F0F5A">
            <w:pPr>
              <w:spacing w:after="0" w:line="240" w:lineRule="auto"/>
              <w:jc w:val="center"/>
              <w:rPr>
                <w:rFonts w:ascii="Times New Roman" w:eastAsia="Times New Roman" w:hAnsi="Times New Roman" w:cs="Times New Roman"/>
                <w:b/>
                <w:bCs/>
                <w:color w:val="000000"/>
                <w:sz w:val="24"/>
                <w:szCs w:val="24"/>
              </w:rPr>
            </w:pPr>
          </w:p>
        </w:tc>
        <w:tc>
          <w:tcPr>
            <w:tcW w:w="2829" w:type="pct"/>
            <w:tcBorders>
              <w:top w:val="nil"/>
              <w:left w:val="nil"/>
              <w:bottom w:val="single" w:sz="4" w:space="0" w:color="auto"/>
              <w:right w:val="nil"/>
            </w:tcBorders>
            <w:shd w:val="clear" w:color="auto" w:fill="auto"/>
            <w:hideMark/>
          </w:tcPr>
          <w:p w14:paraId="11A11810" w14:textId="77777777" w:rsidR="00C500AD" w:rsidRPr="008B39E1" w:rsidRDefault="00C500AD" w:rsidP="000F0F5A">
            <w:pPr>
              <w:spacing w:after="0" w:line="240" w:lineRule="auto"/>
              <w:jc w:val="center"/>
              <w:rPr>
                <w:rFonts w:ascii="Times New Roman" w:eastAsia="Times New Roman" w:hAnsi="Times New Roman" w:cs="Times New Roman"/>
                <w:b/>
                <w:bCs/>
                <w:color w:val="000000"/>
                <w:sz w:val="24"/>
                <w:szCs w:val="24"/>
              </w:rPr>
            </w:pPr>
            <w:r w:rsidRPr="008B39E1">
              <w:rPr>
                <w:rFonts w:ascii="Times New Roman" w:eastAsia="Times New Roman" w:hAnsi="Times New Roman" w:cs="Times New Roman"/>
                <w:b/>
                <w:bCs/>
                <w:color w:val="000000"/>
                <w:sz w:val="24"/>
                <w:szCs w:val="24"/>
              </w:rPr>
              <w:t>Definition</w:t>
            </w:r>
          </w:p>
        </w:tc>
      </w:tr>
      <w:tr w:rsidR="00C500AD" w:rsidRPr="008B39E1" w14:paraId="3D6160DD" w14:textId="77777777" w:rsidTr="00D727A4">
        <w:trPr>
          <w:trHeight w:val="315"/>
          <w:jc w:val="center"/>
        </w:trPr>
        <w:tc>
          <w:tcPr>
            <w:tcW w:w="1928" w:type="pct"/>
            <w:tcBorders>
              <w:top w:val="nil"/>
              <w:left w:val="nil"/>
              <w:bottom w:val="nil"/>
              <w:right w:val="nil"/>
            </w:tcBorders>
            <w:shd w:val="clear" w:color="auto" w:fill="auto"/>
            <w:noWrap/>
            <w:hideMark/>
          </w:tcPr>
          <w:p w14:paraId="5EB6D070"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Dependent Variables</w:t>
            </w:r>
          </w:p>
          <w:p w14:paraId="266738AC"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p>
        </w:tc>
        <w:tc>
          <w:tcPr>
            <w:tcW w:w="243" w:type="pct"/>
            <w:tcBorders>
              <w:top w:val="nil"/>
              <w:left w:val="nil"/>
              <w:bottom w:val="nil"/>
              <w:right w:val="nil"/>
            </w:tcBorders>
            <w:shd w:val="clear" w:color="auto" w:fill="auto"/>
            <w:noWrap/>
            <w:hideMark/>
          </w:tcPr>
          <w:p w14:paraId="60F5EC1C"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p>
        </w:tc>
        <w:tc>
          <w:tcPr>
            <w:tcW w:w="2829" w:type="pct"/>
            <w:tcBorders>
              <w:top w:val="nil"/>
              <w:left w:val="nil"/>
              <w:bottom w:val="nil"/>
              <w:right w:val="nil"/>
            </w:tcBorders>
            <w:shd w:val="clear" w:color="auto" w:fill="auto"/>
            <w:hideMark/>
          </w:tcPr>
          <w:p w14:paraId="556FCEE7" w14:textId="77777777" w:rsidR="00C500AD" w:rsidRPr="008B39E1" w:rsidRDefault="00C500AD" w:rsidP="000F0F5A">
            <w:pPr>
              <w:spacing w:after="0" w:line="240" w:lineRule="auto"/>
              <w:jc w:val="center"/>
              <w:rPr>
                <w:rFonts w:ascii="Times New Roman" w:eastAsia="Times New Roman" w:hAnsi="Times New Roman" w:cs="Times New Roman"/>
                <w:sz w:val="24"/>
                <w:szCs w:val="24"/>
              </w:rPr>
            </w:pPr>
          </w:p>
        </w:tc>
      </w:tr>
      <w:tr w:rsidR="00C500AD" w:rsidRPr="008B39E1" w14:paraId="46845F2D" w14:textId="77777777" w:rsidTr="00D727A4">
        <w:trPr>
          <w:trHeight w:val="432"/>
          <w:jc w:val="center"/>
        </w:trPr>
        <w:tc>
          <w:tcPr>
            <w:tcW w:w="1928" w:type="pct"/>
            <w:tcBorders>
              <w:top w:val="nil"/>
              <w:left w:val="nil"/>
              <w:bottom w:val="nil"/>
              <w:right w:val="nil"/>
            </w:tcBorders>
            <w:shd w:val="clear" w:color="auto" w:fill="auto"/>
            <w:noWrap/>
            <w:hideMark/>
          </w:tcPr>
          <w:p w14:paraId="5BCDDC2B"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ICINEFF</w:t>
            </w:r>
            <w:proofErr w:type="spellEnd"/>
          </w:p>
        </w:tc>
        <w:tc>
          <w:tcPr>
            <w:tcW w:w="243" w:type="pct"/>
            <w:tcBorders>
              <w:top w:val="nil"/>
              <w:left w:val="nil"/>
              <w:bottom w:val="nil"/>
              <w:right w:val="nil"/>
            </w:tcBorders>
            <w:shd w:val="clear" w:color="auto" w:fill="auto"/>
            <w:noWrap/>
            <w:hideMark/>
          </w:tcPr>
          <w:p w14:paraId="03844E51"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hideMark/>
          </w:tcPr>
          <w:p w14:paraId="05BD3419"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 if firm receives one or more SOX 404 internal control material weakness auditor opinion, and 0 otherwise. (Source: Audit Analytics)</w:t>
            </w:r>
          </w:p>
        </w:tc>
      </w:tr>
      <w:tr w:rsidR="00C500AD" w:rsidRPr="008B39E1" w14:paraId="6CD341E0" w14:textId="77777777" w:rsidTr="00D727A4">
        <w:trPr>
          <w:trHeight w:val="432"/>
          <w:jc w:val="center"/>
        </w:trPr>
        <w:tc>
          <w:tcPr>
            <w:tcW w:w="1928" w:type="pct"/>
            <w:tcBorders>
              <w:top w:val="nil"/>
              <w:left w:val="nil"/>
              <w:bottom w:val="nil"/>
              <w:right w:val="nil"/>
            </w:tcBorders>
            <w:shd w:val="clear" w:color="auto" w:fill="auto"/>
            <w:noWrap/>
          </w:tcPr>
          <w:p w14:paraId="5F440EBF"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PROC_ICINEFF</w:t>
            </w:r>
            <w:proofErr w:type="spellEnd"/>
          </w:p>
        </w:tc>
        <w:tc>
          <w:tcPr>
            <w:tcW w:w="243" w:type="pct"/>
            <w:tcBorders>
              <w:top w:val="nil"/>
              <w:left w:val="nil"/>
              <w:bottom w:val="nil"/>
              <w:right w:val="nil"/>
            </w:tcBorders>
            <w:shd w:val="clear" w:color="auto" w:fill="auto"/>
            <w:noWrap/>
          </w:tcPr>
          <w:p w14:paraId="50F6A794"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2187ABB7"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 if firm receives one or more procedural-related SOX 404 internal control material weakness auditor opinion according to Audit Analytics IC coding, and 0 otherwise. (Source: Audit Analytics)</w:t>
            </w:r>
          </w:p>
        </w:tc>
      </w:tr>
      <w:tr w:rsidR="00C500AD" w:rsidRPr="008B39E1" w14:paraId="390960DF" w14:textId="77777777" w:rsidTr="00D727A4">
        <w:trPr>
          <w:trHeight w:val="432"/>
          <w:jc w:val="center"/>
        </w:trPr>
        <w:tc>
          <w:tcPr>
            <w:tcW w:w="1928" w:type="pct"/>
            <w:tcBorders>
              <w:top w:val="nil"/>
              <w:left w:val="nil"/>
              <w:bottom w:val="nil"/>
              <w:right w:val="nil"/>
            </w:tcBorders>
            <w:shd w:val="clear" w:color="auto" w:fill="auto"/>
            <w:noWrap/>
          </w:tcPr>
          <w:p w14:paraId="7F9329A1" w14:textId="742A824A"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NO</w:t>
            </w:r>
            <w:r w:rsidR="002C67D0" w:rsidRPr="008B39E1">
              <w:rPr>
                <w:rFonts w:ascii="Times New Roman" w:eastAsia="Times New Roman" w:hAnsi="Times New Roman" w:cs="Times New Roman"/>
                <w:i/>
                <w:iCs/>
                <w:color w:val="000000"/>
                <w:sz w:val="24"/>
                <w:szCs w:val="24"/>
              </w:rPr>
              <w:t>N</w:t>
            </w:r>
            <w:r w:rsidRPr="008B39E1">
              <w:rPr>
                <w:rFonts w:ascii="Times New Roman" w:eastAsia="Times New Roman" w:hAnsi="Times New Roman" w:cs="Times New Roman"/>
                <w:i/>
                <w:iCs/>
                <w:color w:val="000000"/>
                <w:sz w:val="24"/>
                <w:szCs w:val="24"/>
              </w:rPr>
              <w:t>PROC_ICINEFF</w:t>
            </w:r>
            <w:proofErr w:type="spellEnd"/>
          </w:p>
        </w:tc>
        <w:tc>
          <w:tcPr>
            <w:tcW w:w="243" w:type="pct"/>
            <w:tcBorders>
              <w:top w:val="nil"/>
              <w:left w:val="nil"/>
              <w:bottom w:val="nil"/>
              <w:right w:val="nil"/>
            </w:tcBorders>
            <w:shd w:val="clear" w:color="auto" w:fill="auto"/>
            <w:noWrap/>
          </w:tcPr>
          <w:p w14:paraId="4BB0FE0C"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600EF63D"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 if firm receives one or more nonprocedural related SOX 404 internal control material weakness auditor opinion according to Audit Analytics IC coding, and 0 otherwise. (Source: Audit Analytics)</w:t>
            </w:r>
          </w:p>
        </w:tc>
      </w:tr>
      <w:tr w:rsidR="00C500AD" w:rsidRPr="008B39E1" w14:paraId="23D319AF" w14:textId="77777777" w:rsidTr="00D727A4">
        <w:trPr>
          <w:trHeight w:val="315"/>
          <w:jc w:val="center"/>
        </w:trPr>
        <w:tc>
          <w:tcPr>
            <w:tcW w:w="1928" w:type="pct"/>
            <w:tcBorders>
              <w:top w:val="nil"/>
              <w:left w:val="nil"/>
              <w:bottom w:val="nil"/>
              <w:right w:val="nil"/>
            </w:tcBorders>
            <w:shd w:val="clear" w:color="auto" w:fill="auto"/>
            <w:noWrap/>
            <w:hideMark/>
          </w:tcPr>
          <w:p w14:paraId="37D61544"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Test Variables</w:t>
            </w:r>
          </w:p>
        </w:tc>
        <w:tc>
          <w:tcPr>
            <w:tcW w:w="243" w:type="pct"/>
            <w:tcBorders>
              <w:top w:val="nil"/>
              <w:left w:val="nil"/>
              <w:bottom w:val="nil"/>
              <w:right w:val="nil"/>
            </w:tcBorders>
            <w:shd w:val="clear" w:color="auto" w:fill="auto"/>
            <w:noWrap/>
            <w:hideMark/>
          </w:tcPr>
          <w:p w14:paraId="2AFAABC5"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p>
        </w:tc>
        <w:tc>
          <w:tcPr>
            <w:tcW w:w="2829" w:type="pct"/>
            <w:tcBorders>
              <w:top w:val="nil"/>
              <w:left w:val="nil"/>
              <w:bottom w:val="nil"/>
              <w:right w:val="nil"/>
            </w:tcBorders>
            <w:shd w:val="clear" w:color="auto" w:fill="auto"/>
            <w:hideMark/>
          </w:tcPr>
          <w:p w14:paraId="6D9C64C7" w14:textId="77777777" w:rsidR="00C500AD" w:rsidRPr="008B39E1" w:rsidRDefault="00C500AD" w:rsidP="000F0F5A">
            <w:pPr>
              <w:spacing w:after="0" w:line="240" w:lineRule="auto"/>
              <w:jc w:val="center"/>
              <w:rPr>
                <w:rFonts w:ascii="Times New Roman" w:eastAsia="Times New Roman" w:hAnsi="Times New Roman" w:cs="Times New Roman"/>
                <w:sz w:val="24"/>
                <w:szCs w:val="24"/>
              </w:rPr>
            </w:pPr>
          </w:p>
        </w:tc>
      </w:tr>
      <w:tr w:rsidR="00C500AD" w:rsidRPr="008B39E1" w14:paraId="5E29B906" w14:textId="77777777" w:rsidTr="00D727A4">
        <w:trPr>
          <w:trHeight w:val="662"/>
          <w:jc w:val="center"/>
        </w:trPr>
        <w:tc>
          <w:tcPr>
            <w:tcW w:w="1928" w:type="pct"/>
            <w:tcBorders>
              <w:top w:val="nil"/>
              <w:left w:val="nil"/>
              <w:bottom w:val="nil"/>
              <w:right w:val="nil"/>
            </w:tcBorders>
            <w:shd w:val="clear" w:color="auto" w:fill="auto"/>
            <w:noWrap/>
            <w:hideMark/>
          </w:tcPr>
          <w:p w14:paraId="748D1DEC"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POST</w:t>
            </w:r>
          </w:p>
        </w:tc>
        <w:tc>
          <w:tcPr>
            <w:tcW w:w="243" w:type="pct"/>
            <w:tcBorders>
              <w:top w:val="nil"/>
              <w:left w:val="nil"/>
              <w:bottom w:val="nil"/>
              <w:right w:val="nil"/>
            </w:tcBorders>
            <w:shd w:val="clear" w:color="auto" w:fill="auto"/>
            <w:noWrap/>
            <w:hideMark/>
          </w:tcPr>
          <w:p w14:paraId="64C1CE49"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hideMark/>
          </w:tcPr>
          <w:p w14:paraId="7A13A18E"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 if year of firm headquarters relocation or subsequent years, and 0 otherwise. (Source: 10Q/K)</w:t>
            </w:r>
          </w:p>
        </w:tc>
      </w:tr>
      <w:tr w:rsidR="00C500AD" w:rsidRPr="008B39E1" w14:paraId="32CFE017" w14:textId="77777777" w:rsidTr="00D727A4">
        <w:trPr>
          <w:trHeight w:val="662"/>
          <w:jc w:val="center"/>
        </w:trPr>
        <w:tc>
          <w:tcPr>
            <w:tcW w:w="1928" w:type="pct"/>
            <w:tcBorders>
              <w:top w:val="nil"/>
              <w:left w:val="nil"/>
              <w:bottom w:val="nil"/>
              <w:right w:val="nil"/>
            </w:tcBorders>
            <w:shd w:val="clear" w:color="auto" w:fill="auto"/>
            <w:hideMark/>
          </w:tcPr>
          <w:p w14:paraId="01ABFF83" w14:textId="048F0D18"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RELOCATE</w:t>
            </w:r>
          </w:p>
        </w:tc>
        <w:tc>
          <w:tcPr>
            <w:tcW w:w="243" w:type="pct"/>
            <w:tcBorders>
              <w:top w:val="nil"/>
              <w:left w:val="nil"/>
              <w:bottom w:val="nil"/>
              <w:right w:val="nil"/>
            </w:tcBorders>
            <w:shd w:val="clear" w:color="auto" w:fill="auto"/>
            <w:noWrap/>
            <w:hideMark/>
          </w:tcPr>
          <w:p w14:paraId="3E760062"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hideMark/>
          </w:tcPr>
          <w:p w14:paraId="4FF9877F"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 if firm relocated, and 0 otherwise. (Source: 10Q/K)</w:t>
            </w:r>
          </w:p>
        </w:tc>
      </w:tr>
      <w:tr w:rsidR="00C500AD" w:rsidRPr="008B39E1" w14:paraId="5C9F8934" w14:textId="77777777" w:rsidTr="00D727A4">
        <w:trPr>
          <w:trHeight w:val="662"/>
          <w:jc w:val="center"/>
        </w:trPr>
        <w:tc>
          <w:tcPr>
            <w:tcW w:w="1928" w:type="pct"/>
            <w:tcBorders>
              <w:top w:val="nil"/>
              <w:left w:val="nil"/>
              <w:bottom w:val="nil"/>
              <w:right w:val="nil"/>
            </w:tcBorders>
            <w:shd w:val="clear" w:color="auto" w:fill="auto"/>
            <w:hideMark/>
          </w:tcPr>
          <w:p w14:paraId="6BD49ABC"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NO_CHSC</w:t>
            </w:r>
            <w:proofErr w:type="spellEnd"/>
          </w:p>
        </w:tc>
        <w:tc>
          <w:tcPr>
            <w:tcW w:w="243" w:type="pct"/>
            <w:tcBorders>
              <w:top w:val="nil"/>
              <w:left w:val="nil"/>
              <w:bottom w:val="nil"/>
              <w:right w:val="nil"/>
            </w:tcBorders>
            <w:shd w:val="clear" w:color="auto" w:fill="auto"/>
            <w:noWrap/>
            <w:hideMark/>
          </w:tcPr>
          <w:p w14:paraId="564109F8"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hideMark/>
          </w:tcPr>
          <w:p w14:paraId="182849AF" w14:textId="0BA68376"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1 if </w:t>
            </w:r>
            <w:proofErr w:type="gramStart"/>
            <w:r w:rsidRPr="008B39E1">
              <w:rPr>
                <w:rFonts w:ascii="Times New Roman" w:eastAsia="Times New Roman" w:hAnsi="Times New Roman" w:cs="Times New Roman"/>
                <w:color w:val="000000"/>
                <w:sz w:val="24"/>
                <w:szCs w:val="24"/>
              </w:rPr>
              <w:t>no</w:t>
            </w:r>
            <w:proofErr w:type="gramEnd"/>
            <w:r w:rsidRPr="008B39E1">
              <w:rPr>
                <w:rFonts w:ascii="Times New Roman" w:eastAsia="Times New Roman" w:hAnsi="Times New Roman" w:cs="Times New Roman"/>
                <w:color w:val="000000"/>
                <w:sz w:val="24"/>
                <w:szCs w:val="24"/>
              </w:rPr>
              <w:t xml:space="preserve"> change in social capital</w:t>
            </w:r>
            <w:r w:rsidR="00BD6B33" w:rsidRPr="008B39E1">
              <w:rPr>
                <w:rFonts w:ascii="Times New Roman" w:eastAsia="Times New Roman" w:hAnsi="Times New Roman" w:cs="Times New Roman"/>
                <w:color w:val="000000"/>
                <w:sz w:val="24"/>
                <w:szCs w:val="24"/>
              </w:rPr>
              <w:t xml:space="preserve"> from pre- to post-relocation period</w:t>
            </w:r>
            <w:r w:rsidRPr="008B39E1">
              <w:rPr>
                <w:rFonts w:ascii="Times New Roman" w:eastAsia="Times New Roman" w:hAnsi="Times New Roman" w:cs="Times New Roman"/>
                <w:color w:val="000000"/>
                <w:sz w:val="24"/>
                <w:szCs w:val="24"/>
              </w:rPr>
              <w:t xml:space="preserve">, and 0 otherwise. (Source: </w:t>
            </w:r>
            <w:proofErr w:type="spellStart"/>
            <w:r w:rsidRPr="008B39E1">
              <w:rPr>
                <w:rFonts w:ascii="Times New Roman" w:eastAsia="Times New Roman" w:hAnsi="Times New Roman" w:cs="Times New Roman"/>
                <w:color w:val="000000"/>
                <w:sz w:val="24"/>
                <w:szCs w:val="24"/>
              </w:rPr>
              <w:t>NRCRD</w:t>
            </w:r>
            <w:proofErr w:type="spellEnd"/>
            <w:r w:rsidRPr="008B39E1">
              <w:rPr>
                <w:rFonts w:ascii="Times New Roman" w:eastAsia="Times New Roman" w:hAnsi="Times New Roman" w:cs="Times New Roman"/>
                <w:color w:val="000000"/>
                <w:sz w:val="24"/>
                <w:szCs w:val="24"/>
              </w:rPr>
              <w:t>)</w:t>
            </w:r>
          </w:p>
        </w:tc>
      </w:tr>
      <w:tr w:rsidR="00C500AD" w:rsidRPr="008B39E1" w14:paraId="65AD5B12" w14:textId="77777777" w:rsidTr="00D727A4">
        <w:trPr>
          <w:trHeight w:val="662"/>
          <w:jc w:val="center"/>
        </w:trPr>
        <w:tc>
          <w:tcPr>
            <w:tcW w:w="1928" w:type="pct"/>
            <w:tcBorders>
              <w:top w:val="nil"/>
              <w:left w:val="nil"/>
              <w:bottom w:val="nil"/>
              <w:right w:val="nil"/>
            </w:tcBorders>
            <w:shd w:val="clear" w:color="auto" w:fill="auto"/>
            <w:hideMark/>
          </w:tcPr>
          <w:p w14:paraId="6F5F666E"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CHSC</w:t>
            </w:r>
            <w:proofErr w:type="spellEnd"/>
          </w:p>
        </w:tc>
        <w:tc>
          <w:tcPr>
            <w:tcW w:w="243" w:type="pct"/>
            <w:tcBorders>
              <w:top w:val="nil"/>
              <w:left w:val="nil"/>
              <w:bottom w:val="nil"/>
              <w:right w:val="nil"/>
            </w:tcBorders>
            <w:shd w:val="clear" w:color="auto" w:fill="auto"/>
            <w:noWrap/>
            <w:hideMark/>
          </w:tcPr>
          <w:p w14:paraId="39E9824C"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hideMark/>
          </w:tcPr>
          <w:p w14:paraId="4E386CA8" w14:textId="3DAB163D"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 if absolute difference in social capital from pre</w:t>
            </w:r>
            <w:r w:rsidR="000F5CB5" w:rsidRPr="008B39E1">
              <w:rPr>
                <w:rFonts w:ascii="Times New Roman" w:eastAsia="Times New Roman" w:hAnsi="Times New Roman" w:cs="Times New Roman"/>
                <w:color w:val="000000"/>
                <w:sz w:val="24"/>
                <w:szCs w:val="24"/>
              </w:rPr>
              <w:t>-</w:t>
            </w:r>
            <w:r w:rsidRPr="008B39E1">
              <w:rPr>
                <w:rFonts w:ascii="Times New Roman" w:eastAsia="Times New Roman" w:hAnsi="Times New Roman" w:cs="Times New Roman"/>
                <w:color w:val="000000"/>
                <w:sz w:val="24"/>
                <w:szCs w:val="24"/>
              </w:rPr>
              <w:t xml:space="preserve"> to post-relocation is greater than 0, and 0 otherwise. (Source: </w:t>
            </w:r>
            <w:proofErr w:type="spellStart"/>
            <w:r w:rsidRPr="008B39E1">
              <w:rPr>
                <w:rFonts w:ascii="Times New Roman" w:eastAsia="Times New Roman" w:hAnsi="Times New Roman" w:cs="Times New Roman"/>
                <w:color w:val="000000"/>
                <w:sz w:val="24"/>
                <w:szCs w:val="24"/>
              </w:rPr>
              <w:t>NRCRD</w:t>
            </w:r>
            <w:proofErr w:type="spellEnd"/>
            <w:r w:rsidRPr="008B39E1">
              <w:rPr>
                <w:rFonts w:ascii="Times New Roman" w:eastAsia="Times New Roman" w:hAnsi="Times New Roman" w:cs="Times New Roman"/>
                <w:color w:val="000000"/>
                <w:sz w:val="24"/>
                <w:szCs w:val="24"/>
              </w:rPr>
              <w:t>)</w:t>
            </w:r>
          </w:p>
        </w:tc>
      </w:tr>
      <w:tr w:rsidR="00582C68" w:rsidRPr="008B39E1" w14:paraId="7BAB060E" w14:textId="77777777" w:rsidTr="00D727A4">
        <w:trPr>
          <w:trHeight w:val="662"/>
          <w:jc w:val="center"/>
        </w:trPr>
        <w:tc>
          <w:tcPr>
            <w:tcW w:w="1928" w:type="pct"/>
            <w:tcBorders>
              <w:top w:val="nil"/>
              <w:left w:val="nil"/>
              <w:bottom w:val="nil"/>
              <w:right w:val="nil"/>
            </w:tcBorders>
            <w:shd w:val="clear" w:color="auto" w:fill="auto"/>
          </w:tcPr>
          <w:p w14:paraId="787A709F" w14:textId="1AAF008D" w:rsidR="00582C68" w:rsidRPr="008B39E1" w:rsidRDefault="00582C68"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CHSCraw</w:t>
            </w:r>
            <w:proofErr w:type="spellEnd"/>
          </w:p>
        </w:tc>
        <w:tc>
          <w:tcPr>
            <w:tcW w:w="243" w:type="pct"/>
            <w:tcBorders>
              <w:top w:val="nil"/>
              <w:left w:val="nil"/>
              <w:bottom w:val="nil"/>
              <w:right w:val="nil"/>
            </w:tcBorders>
            <w:shd w:val="clear" w:color="auto" w:fill="auto"/>
            <w:noWrap/>
          </w:tcPr>
          <w:p w14:paraId="0C3F6911" w14:textId="34D4E86F" w:rsidR="00582C68" w:rsidRPr="008B39E1" w:rsidRDefault="00582C68"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77AE7AD4" w14:textId="654CC683" w:rsidR="00582C68" w:rsidRPr="008B39E1" w:rsidRDefault="00374973"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Absolute raw changes in social capital index from pre</w:t>
            </w:r>
            <w:r w:rsidR="000F5CB5" w:rsidRPr="008B39E1">
              <w:rPr>
                <w:rFonts w:ascii="Times New Roman" w:eastAsia="Times New Roman" w:hAnsi="Times New Roman" w:cs="Times New Roman"/>
                <w:color w:val="000000"/>
                <w:sz w:val="24"/>
                <w:szCs w:val="24"/>
              </w:rPr>
              <w:t>-</w:t>
            </w:r>
            <w:r w:rsidRPr="008B39E1">
              <w:rPr>
                <w:rFonts w:ascii="Times New Roman" w:eastAsia="Times New Roman" w:hAnsi="Times New Roman" w:cs="Times New Roman"/>
                <w:color w:val="000000"/>
                <w:sz w:val="24"/>
                <w:szCs w:val="24"/>
              </w:rPr>
              <w:t xml:space="preserve"> to post-relocation. (Source: </w:t>
            </w:r>
            <w:proofErr w:type="spellStart"/>
            <w:r w:rsidRPr="008B39E1">
              <w:rPr>
                <w:rFonts w:ascii="Times New Roman" w:eastAsia="Times New Roman" w:hAnsi="Times New Roman" w:cs="Times New Roman"/>
                <w:color w:val="000000"/>
                <w:sz w:val="24"/>
                <w:szCs w:val="24"/>
              </w:rPr>
              <w:t>NRCRD</w:t>
            </w:r>
            <w:proofErr w:type="spellEnd"/>
            <w:r w:rsidRPr="008B39E1">
              <w:rPr>
                <w:rFonts w:ascii="Times New Roman" w:eastAsia="Times New Roman" w:hAnsi="Times New Roman" w:cs="Times New Roman"/>
                <w:color w:val="000000"/>
                <w:sz w:val="24"/>
                <w:szCs w:val="24"/>
              </w:rPr>
              <w:t>)</w:t>
            </w:r>
          </w:p>
        </w:tc>
      </w:tr>
      <w:tr w:rsidR="00C500AD" w:rsidRPr="008B39E1" w14:paraId="68FF5C04" w14:textId="77777777" w:rsidTr="00D727A4">
        <w:trPr>
          <w:trHeight w:val="662"/>
          <w:jc w:val="center"/>
        </w:trPr>
        <w:tc>
          <w:tcPr>
            <w:tcW w:w="1928" w:type="pct"/>
            <w:tcBorders>
              <w:top w:val="nil"/>
              <w:left w:val="nil"/>
              <w:bottom w:val="nil"/>
              <w:right w:val="nil"/>
            </w:tcBorders>
            <w:shd w:val="clear" w:color="auto" w:fill="auto"/>
          </w:tcPr>
          <w:p w14:paraId="468BACE9"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CHNORMS</w:t>
            </w:r>
            <w:proofErr w:type="spellEnd"/>
          </w:p>
        </w:tc>
        <w:tc>
          <w:tcPr>
            <w:tcW w:w="243" w:type="pct"/>
            <w:tcBorders>
              <w:top w:val="nil"/>
              <w:left w:val="nil"/>
              <w:bottom w:val="nil"/>
              <w:right w:val="nil"/>
            </w:tcBorders>
            <w:shd w:val="clear" w:color="auto" w:fill="auto"/>
            <w:noWrap/>
          </w:tcPr>
          <w:p w14:paraId="77754BA5"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69E3F372" w14:textId="5D252D79"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1 if absolute change </w:t>
            </w:r>
            <w:r w:rsidR="002409F0" w:rsidRPr="008B39E1">
              <w:rPr>
                <w:rFonts w:ascii="Times New Roman" w:eastAsia="Times New Roman" w:hAnsi="Times New Roman" w:cs="Times New Roman"/>
                <w:color w:val="000000"/>
                <w:sz w:val="24"/>
                <w:szCs w:val="24"/>
              </w:rPr>
              <w:t xml:space="preserve">from pre- to post-relocation </w:t>
            </w:r>
            <w:r w:rsidRPr="008B39E1">
              <w:rPr>
                <w:rFonts w:ascii="Times New Roman" w:eastAsia="Times New Roman" w:hAnsi="Times New Roman" w:cs="Times New Roman"/>
                <w:color w:val="000000"/>
                <w:sz w:val="24"/>
                <w:szCs w:val="24"/>
              </w:rPr>
              <w:t xml:space="preserve">in </w:t>
            </w:r>
            <w:r w:rsidR="002409F0" w:rsidRPr="008B39E1">
              <w:rPr>
                <w:rFonts w:ascii="Times New Roman" w:eastAsia="Times New Roman" w:hAnsi="Times New Roman" w:cs="Times New Roman"/>
                <w:color w:val="000000"/>
                <w:sz w:val="24"/>
                <w:szCs w:val="24"/>
              </w:rPr>
              <w:t xml:space="preserve">the “norms” component of </w:t>
            </w:r>
            <w:r w:rsidRPr="008B39E1">
              <w:rPr>
                <w:rFonts w:ascii="Times New Roman" w:eastAsia="Times New Roman" w:hAnsi="Times New Roman" w:cs="Times New Roman"/>
                <w:color w:val="000000"/>
                <w:sz w:val="24"/>
                <w:szCs w:val="24"/>
              </w:rPr>
              <w:t xml:space="preserve">social capital greater than 0, and 0 otherwise. (Source: </w:t>
            </w:r>
            <w:proofErr w:type="spellStart"/>
            <w:r w:rsidRPr="008B39E1">
              <w:rPr>
                <w:rFonts w:ascii="Times New Roman" w:eastAsia="Times New Roman" w:hAnsi="Times New Roman" w:cs="Times New Roman"/>
                <w:color w:val="000000"/>
                <w:sz w:val="24"/>
                <w:szCs w:val="24"/>
              </w:rPr>
              <w:t>NRCRD</w:t>
            </w:r>
            <w:proofErr w:type="spellEnd"/>
            <w:r w:rsidRPr="008B39E1">
              <w:rPr>
                <w:rFonts w:ascii="Times New Roman" w:eastAsia="Times New Roman" w:hAnsi="Times New Roman" w:cs="Times New Roman"/>
                <w:color w:val="000000"/>
                <w:sz w:val="24"/>
                <w:szCs w:val="24"/>
              </w:rPr>
              <w:t>)</w:t>
            </w:r>
          </w:p>
        </w:tc>
      </w:tr>
      <w:tr w:rsidR="00974655" w:rsidRPr="008B39E1" w14:paraId="1C834117" w14:textId="77777777" w:rsidTr="00D727A4">
        <w:trPr>
          <w:trHeight w:val="662"/>
          <w:jc w:val="center"/>
        </w:trPr>
        <w:tc>
          <w:tcPr>
            <w:tcW w:w="1928" w:type="pct"/>
            <w:tcBorders>
              <w:top w:val="nil"/>
              <w:left w:val="nil"/>
              <w:bottom w:val="nil"/>
              <w:right w:val="nil"/>
            </w:tcBorders>
            <w:shd w:val="clear" w:color="auto" w:fill="auto"/>
          </w:tcPr>
          <w:p w14:paraId="62BF3D5F" w14:textId="40242224" w:rsidR="00974655" w:rsidRPr="008B39E1" w:rsidRDefault="00974655"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NORMSraw</w:t>
            </w:r>
            <w:proofErr w:type="spellEnd"/>
          </w:p>
        </w:tc>
        <w:tc>
          <w:tcPr>
            <w:tcW w:w="243" w:type="pct"/>
            <w:tcBorders>
              <w:top w:val="nil"/>
              <w:left w:val="nil"/>
              <w:bottom w:val="nil"/>
              <w:right w:val="nil"/>
            </w:tcBorders>
            <w:shd w:val="clear" w:color="auto" w:fill="auto"/>
            <w:noWrap/>
          </w:tcPr>
          <w:p w14:paraId="5DA25FDE" w14:textId="72D3E550" w:rsidR="00974655" w:rsidRPr="008B39E1" w:rsidRDefault="00974655"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3944B93E" w14:textId="0FF2B64D" w:rsidR="00974655" w:rsidRPr="008B39E1" w:rsidRDefault="00974655"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Absolute raw changes i</w:t>
            </w:r>
            <w:r w:rsidR="000F5CB5" w:rsidRPr="008B39E1">
              <w:rPr>
                <w:rFonts w:ascii="Times New Roman" w:eastAsia="Times New Roman" w:hAnsi="Times New Roman" w:cs="Times New Roman"/>
                <w:color w:val="000000"/>
                <w:sz w:val="24"/>
                <w:szCs w:val="24"/>
              </w:rPr>
              <w:t xml:space="preserve">n “norms” component of social capital from pre- to post-relocation. (Source: </w:t>
            </w:r>
            <w:proofErr w:type="spellStart"/>
            <w:r w:rsidR="000F5CB5" w:rsidRPr="008B39E1">
              <w:rPr>
                <w:rFonts w:ascii="Times New Roman" w:eastAsia="Times New Roman" w:hAnsi="Times New Roman" w:cs="Times New Roman"/>
                <w:color w:val="000000"/>
                <w:sz w:val="24"/>
                <w:szCs w:val="24"/>
              </w:rPr>
              <w:t>NRCRD</w:t>
            </w:r>
            <w:proofErr w:type="spellEnd"/>
            <w:r w:rsidR="000F5CB5" w:rsidRPr="008B39E1">
              <w:rPr>
                <w:rFonts w:ascii="Times New Roman" w:eastAsia="Times New Roman" w:hAnsi="Times New Roman" w:cs="Times New Roman"/>
                <w:color w:val="000000"/>
                <w:sz w:val="24"/>
                <w:szCs w:val="24"/>
              </w:rPr>
              <w:t>)</w:t>
            </w:r>
          </w:p>
        </w:tc>
      </w:tr>
      <w:tr w:rsidR="00C500AD" w:rsidRPr="008B39E1" w14:paraId="14CBC2BE" w14:textId="77777777" w:rsidTr="00D727A4">
        <w:trPr>
          <w:trHeight w:val="662"/>
          <w:jc w:val="center"/>
        </w:trPr>
        <w:tc>
          <w:tcPr>
            <w:tcW w:w="1928" w:type="pct"/>
            <w:tcBorders>
              <w:top w:val="nil"/>
              <w:left w:val="nil"/>
              <w:bottom w:val="nil"/>
              <w:right w:val="nil"/>
            </w:tcBorders>
            <w:shd w:val="clear" w:color="auto" w:fill="auto"/>
          </w:tcPr>
          <w:p w14:paraId="2779EC1B"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CHNETW</w:t>
            </w:r>
            <w:proofErr w:type="spellEnd"/>
          </w:p>
        </w:tc>
        <w:tc>
          <w:tcPr>
            <w:tcW w:w="243" w:type="pct"/>
            <w:tcBorders>
              <w:top w:val="nil"/>
              <w:left w:val="nil"/>
              <w:bottom w:val="nil"/>
              <w:right w:val="nil"/>
            </w:tcBorders>
            <w:shd w:val="clear" w:color="auto" w:fill="auto"/>
            <w:noWrap/>
          </w:tcPr>
          <w:p w14:paraId="0B639BCF"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075CF911" w14:textId="3A0BBA42"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1 if absolute change in </w:t>
            </w:r>
            <w:r w:rsidR="002409F0" w:rsidRPr="008B39E1">
              <w:rPr>
                <w:rFonts w:ascii="Times New Roman" w:eastAsia="Times New Roman" w:hAnsi="Times New Roman" w:cs="Times New Roman"/>
                <w:color w:val="000000"/>
                <w:sz w:val="24"/>
                <w:szCs w:val="24"/>
              </w:rPr>
              <w:t xml:space="preserve">the “networks” component of </w:t>
            </w:r>
            <w:r w:rsidRPr="008B39E1">
              <w:rPr>
                <w:rFonts w:ascii="Times New Roman" w:eastAsia="Times New Roman" w:hAnsi="Times New Roman" w:cs="Times New Roman"/>
                <w:color w:val="000000"/>
                <w:sz w:val="24"/>
                <w:szCs w:val="24"/>
              </w:rPr>
              <w:t xml:space="preserve">social capital </w:t>
            </w:r>
            <w:r w:rsidR="002409F0" w:rsidRPr="008B39E1">
              <w:rPr>
                <w:rFonts w:ascii="Times New Roman" w:eastAsia="Times New Roman" w:hAnsi="Times New Roman" w:cs="Times New Roman"/>
                <w:color w:val="000000"/>
                <w:sz w:val="24"/>
                <w:szCs w:val="24"/>
              </w:rPr>
              <w:t xml:space="preserve">from pre- to post-relocation </w:t>
            </w:r>
            <w:r w:rsidRPr="008B39E1">
              <w:rPr>
                <w:rFonts w:ascii="Times New Roman" w:eastAsia="Times New Roman" w:hAnsi="Times New Roman" w:cs="Times New Roman"/>
                <w:color w:val="000000"/>
                <w:sz w:val="24"/>
                <w:szCs w:val="24"/>
              </w:rPr>
              <w:t xml:space="preserve">is greater than 0, and 0 otherwise. (Source: </w:t>
            </w:r>
            <w:proofErr w:type="spellStart"/>
            <w:r w:rsidRPr="008B39E1">
              <w:rPr>
                <w:rFonts w:ascii="Times New Roman" w:eastAsia="Times New Roman" w:hAnsi="Times New Roman" w:cs="Times New Roman"/>
                <w:color w:val="000000"/>
                <w:sz w:val="24"/>
                <w:szCs w:val="24"/>
              </w:rPr>
              <w:t>NRCRD</w:t>
            </w:r>
            <w:proofErr w:type="spellEnd"/>
            <w:r w:rsidRPr="008B39E1">
              <w:rPr>
                <w:rFonts w:ascii="Times New Roman" w:eastAsia="Times New Roman" w:hAnsi="Times New Roman" w:cs="Times New Roman"/>
                <w:color w:val="000000"/>
                <w:sz w:val="24"/>
                <w:szCs w:val="24"/>
              </w:rPr>
              <w:t>)</w:t>
            </w:r>
          </w:p>
        </w:tc>
      </w:tr>
      <w:tr w:rsidR="007A0824" w:rsidRPr="008B39E1" w14:paraId="46F563B7" w14:textId="77777777" w:rsidTr="00D727A4">
        <w:trPr>
          <w:trHeight w:val="662"/>
          <w:jc w:val="center"/>
        </w:trPr>
        <w:tc>
          <w:tcPr>
            <w:tcW w:w="1928" w:type="pct"/>
            <w:tcBorders>
              <w:top w:val="nil"/>
              <w:left w:val="nil"/>
              <w:bottom w:val="nil"/>
              <w:right w:val="nil"/>
            </w:tcBorders>
            <w:shd w:val="clear" w:color="auto" w:fill="auto"/>
          </w:tcPr>
          <w:p w14:paraId="1C1BF6EE" w14:textId="74F512CE" w:rsidR="007A0824" w:rsidRPr="008B39E1" w:rsidRDefault="007A0824"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NETWraw</w:t>
            </w:r>
            <w:proofErr w:type="spellEnd"/>
          </w:p>
        </w:tc>
        <w:tc>
          <w:tcPr>
            <w:tcW w:w="243" w:type="pct"/>
            <w:tcBorders>
              <w:top w:val="nil"/>
              <w:left w:val="nil"/>
              <w:bottom w:val="nil"/>
              <w:right w:val="nil"/>
            </w:tcBorders>
            <w:shd w:val="clear" w:color="auto" w:fill="auto"/>
            <w:noWrap/>
          </w:tcPr>
          <w:p w14:paraId="77DCC1EE" w14:textId="1CD79084" w:rsidR="007A0824" w:rsidRPr="008B39E1" w:rsidRDefault="007A0824"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6B08AD83" w14:textId="149A4B8C" w:rsidR="007A0824" w:rsidRPr="008B39E1" w:rsidRDefault="007A0824"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Absolute raw changes in “network” component of social capital from pre- to post-relocation. (Source: </w:t>
            </w:r>
            <w:proofErr w:type="spellStart"/>
            <w:r w:rsidRPr="008B39E1">
              <w:rPr>
                <w:rFonts w:ascii="Times New Roman" w:eastAsia="Times New Roman" w:hAnsi="Times New Roman" w:cs="Times New Roman"/>
                <w:color w:val="000000"/>
                <w:sz w:val="24"/>
                <w:szCs w:val="24"/>
              </w:rPr>
              <w:t>NRCRD</w:t>
            </w:r>
            <w:proofErr w:type="spellEnd"/>
            <w:r w:rsidRPr="008B39E1">
              <w:rPr>
                <w:rFonts w:ascii="Times New Roman" w:eastAsia="Times New Roman" w:hAnsi="Times New Roman" w:cs="Times New Roman"/>
                <w:color w:val="000000"/>
                <w:sz w:val="24"/>
                <w:szCs w:val="24"/>
              </w:rPr>
              <w:t>)</w:t>
            </w:r>
          </w:p>
        </w:tc>
      </w:tr>
      <w:tr w:rsidR="00C500AD" w:rsidRPr="008B39E1" w14:paraId="7ED02568" w14:textId="77777777" w:rsidTr="00D727A4">
        <w:trPr>
          <w:trHeight w:val="662"/>
          <w:jc w:val="center"/>
        </w:trPr>
        <w:tc>
          <w:tcPr>
            <w:tcW w:w="1928" w:type="pct"/>
            <w:tcBorders>
              <w:top w:val="nil"/>
              <w:left w:val="nil"/>
              <w:bottom w:val="nil"/>
              <w:right w:val="nil"/>
            </w:tcBorders>
            <w:shd w:val="clear" w:color="auto" w:fill="auto"/>
          </w:tcPr>
          <w:p w14:paraId="67FAA406"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color w:val="000000"/>
                <w:sz w:val="24"/>
                <w:szCs w:val="24"/>
              </w:rPr>
              <w:t>Control Variables</w:t>
            </w:r>
          </w:p>
        </w:tc>
        <w:tc>
          <w:tcPr>
            <w:tcW w:w="243" w:type="pct"/>
            <w:tcBorders>
              <w:top w:val="nil"/>
              <w:left w:val="nil"/>
              <w:bottom w:val="nil"/>
              <w:right w:val="nil"/>
            </w:tcBorders>
            <w:shd w:val="clear" w:color="auto" w:fill="auto"/>
            <w:noWrap/>
          </w:tcPr>
          <w:p w14:paraId="15737271"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p>
        </w:tc>
        <w:tc>
          <w:tcPr>
            <w:tcW w:w="2829" w:type="pct"/>
            <w:tcBorders>
              <w:top w:val="nil"/>
              <w:left w:val="nil"/>
              <w:bottom w:val="nil"/>
              <w:right w:val="nil"/>
            </w:tcBorders>
            <w:shd w:val="clear" w:color="auto" w:fill="auto"/>
          </w:tcPr>
          <w:p w14:paraId="08FA20FC"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p>
        </w:tc>
      </w:tr>
      <w:tr w:rsidR="00C500AD" w:rsidRPr="008B39E1" w14:paraId="2A68DF3A" w14:textId="77777777" w:rsidTr="00D727A4">
        <w:trPr>
          <w:trHeight w:val="662"/>
          <w:jc w:val="center"/>
        </w:trPr>
        <w:tc>
          <w:tcPr>
            <w:tcW w:w="1928" w:type="pct"/>
            <w:tcBorders>
              <w:top w:val="nil"/>
              <w:left w:val="nil"/>
              <w:bottom w:val="nil"/>
              <w:right w:val="nil"/>
            </w:tcBorders>
            <w:shd w:val="clear" w:color="auto" w:fill="auto"/>
          </w:tcPr>
          <w:p w14:paraId="1237FA06"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NO_PENSION</w:t>
            </w:r>
            <w:proofErr w:type="spellEnd"/>
          </w:p>
        </w:tc>
        <w:tc>
          <w:tcPr>
            <w:tcW w:w="243" w:type="pct"/>
            <w:tcBorders>
              <w:top w:val="nil"/>
              <w:left w:val="nil"/>
              <w:bottom w:val="nil"/>
              <w:right w:val="nil"/>
            </w:tcBorders>
            <w:shd w:val="clear" w:color="auto" w:fill="auto"/>
            <w:noWrap/>
          </w:tcPr>
          <w:p w14:paraId="087F79BF"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1D6E4564"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1 if firm reports pension plan assets, and 0 otherwise. (Source: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color w:val="000000"/>
                <w:sz w:val="24"/>
                <w:szCs w:val="24"/>
              </w:rPr>
              <w:t xml:space="preserve"> data </w:t>
            </w:r>
            <w:proofErr w:type="spellStart"/>
            <w:r w:rsidRPr="008B39E1">
              <w:rPr>
                <w:rFonts w:ascii="Times New Roman" w:eastAsia="Times New Roman" w:hAnsi="Times New Roman" w:cs="Times New Roman"/>
                <w:color w:val="000000"/>
                <w:sz w:val="24"/>
                <w:szCs w:val="24"/>
              </w:rPr>
              <w:t>PPLAO</w:t>
            </w:r>
            <w:proofErr w:type="spellEnd"/>
            <w:r w:rsidRPr="008B39E1">
              <w:rPr>
                <w:rFonts w:ascii="Times New Roman" w:eastAsia="Times New Roman" w:hAnsi="Times New Roman" w:cs="Times New Roman"/>
                <w:color w:val="000000"/>
                <w:sz w:val="24"/>
                <w:szCs w:val="24"/>
              </w:rPr>
              <w:t xml:space="preserve">) </w:t>
            </w:r>
          </w:p>
        </w:tc>
      </w:tr>
      <w:tr w:rsidR="00C500AD" w:rsidRPr="008B39E1" w14:paraId="394228B1" w14:textId="77777777" w:rsidTr="00D727A4">
        <w:trPr>
          <w:trHeight w:val="662"/>
          <w:jc w:val="center"/>
        </w:trPr>
        <w:tc>
          <w:tcPr>
            <w:tcW w:w="1928" w:type="pct"/>
            <w:tcBorders>
              <w:top w:val="nil"/>
              <w:left w:val="nil"/>
              <w:bottom w:val="nil"/>
              <w:right w:val="nil"/>
            </w:tcBorders>
            <w:shd w:val="clear" w:color="auto" w:fill="auto"/>
          </w:tcPr>
          <w:p w14:paraId="14487C01"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lastRenderedPageBreak/>
              <w:t>RESTRUCTURE</w:t>
            </w:r>
          </w:p>
        </w:tc>
        <w:tc>
          <w:tcPr>
            <w:tcW w:w="243" w:type="pct"/>
            <w:tcBorders>
              <w:top w:val="nil"/>
              <w:left w:val="nil"/>
              <w:bottom w:val="nil"/>
              <w:right w:val="nil"/>
            </w:tcBorders>
            <w:shd w:val="clear" w:color="auto" w:fill="auto"/>
            <w:noWrap/>
          </w:tcPr>
          <w:p w14:paraId="3BC9F43A"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4DAB21F2"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 if firm reports restructure expenses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color w:val="000000"/>
                <w:sz w:val="24"/>
                <w:szCs w:val="24"/>
              </w:rPr>
              <w:t xml:space="preserve"> data</w:t>
            </w:r>
            <w:r w:rsidRPr="008B39E1">
              <w:rPr>
                <w:rFonts w:ascii="Times New Roman" w:eastAsia="Times New Roman" w:hAnsi="Times New Roman" w:cs="Times New Roman"/>
                <w:i/>
                <w:iCs/>
                <w:color w:val="000000"/>
                <w:sz w:val="24"/>
                <w:szCs w:val="24"/>
              </w:rPr>
              <w:t xml:space="preserve"> RCP</w:t>
            </w:r>
            <w:r w:rsidRPr="008B39E1">
              <w:rPr>
                <w:rFonts w:ascii="Times New Roman" w:eastAsia="Times New Roman" w:hAnsi="Times New Roman" w:cs="Times New Roman"/>
                <w:color w:val="000000"/>
                <w:sz w:val="24"/>
                <w:szCs w:val="24"/>
              </w:rPr>
              <w:t>)</w:t>
            </w:r>
            <w:r w:rsidRPr="008B39E1">
              <w:rPr>
                <w:rFonts w:ascii="Times New Roman" w:eastAsia="Times New Roman" w:hAnsi="Times New Roman" w:cs="Times New Roman"/>
                <w:i/>
                <w:iCs/>
                <w:color w:val="000000"/>
                <w:sz w:val="24"/>
                <w:szCs w:val="24"/>
              </w:rPr>
              <w:t xml:space="preserve"> </w:t>
            </w:r>
            <w:r w:rsidRPr="008B39E1">
              <w:rPr>
                <w:rFonts w:ascii="Times New Roman" w:eastAsia="Times New Roman" w:hAnsi="Times New Roman" w:cs="Times New Roman"/>
                <w:color w:val="000000"/>
                <w:sz w:val="24"/>
                <w:szCs w:val="24"/>
              </w:rPr>
              <w:t>in period of move, and 0 otherwise.</w:t>
            </w:r>
          </w:p>
        </w:tc>
      </w:tr>
      <w:tr w:rsidR="00C500AD" w:rsidRPr="008B39E1" w14:paraId="198C480D" w14:textId="77777777" w:rsidTr="00D727A4">
        <w:trPr>
          <w:trHeight w:val="662"/>
          <w:jc w:val="center"/>
        </w:trPr>
        <w:tc>
          <w:tcPr>
            <w:tcW w:w="1928" w:type="pct"/>
            <w:tcBorders>
              <w:top w:val="nil"/>
              <w:left w:val="nil"/>
              <w:bottom w:val="nil"/>
              <w:right w:val="nil"/>
            </w:tcBorders>
            <w:shd w:val="clear" w:color="auto" w:fill="auto"/>
          </w:tcPr>
          <w:p w14:paraId="3A1FD7BB"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SIZE</w:t>
            </w:r>
          </w:p>
        </w:tc>
        <w:tc>
          <w:tcPr>
            <w:tcW w:w="243" w:type="pct"/>
            <w:tcBorders>
              <w:top w:val="nil"/>
              <w:left w:val="nil"/>
              <w:bottom w:val="nil"/>
              <w:right w:val="nil"/>
            </w:tcBorders>
            <w:shd w:val="clear" w:color="auto" w:fill="auto"/>
            <w:noWrap/>
          </w:tcPr>
          <w:p w14:paraId="72A3FB12"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17E3CF16"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Natural log of total assets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color w:val="000000"/>
                <w:sz w:val="24"/>
                <w:szCs w:val="24"/>
              </w:rPr>
              <w:t xml:space="preserve"> data</w:t>
            </w:r>
            <w:r w:rsidRPr="008B39E1">
              <w:rPr>
                <w:rFonts w:ascii="Times New Roman" w:eastAsia="Times New Roman" w:hAnsi="Times New Roman" w:cs="Times New Roman"/>
                <w:i/>
                <w:iCs/>
                <w:color w:val="000000"/>
                <w:sz w:val="24"/>
                <w:szCs w:val="24"/>
              </w:rPr>
              <w:t xml:space="preserve"> AT</w:t>
            </w:r>
            <w:r w:rsidRPr="008B39E1">
              <w:rPr>
                <w:rFonts w:ascii="Times New Roman" w:eastAsia="Times New Roman" w:hAnsi="Times New Roman" w:cs="Times New Roman"/>
                <w:color w:val="000000"/>
                <w:sz w:val="24"/>
                <w:szCs w:val="24"/>
              </w:rPr>
              <w:t xml:space="preserve">) for period </w:t>
            </w:r>
            <w:r w:rsidRPr="008B39E1">
              <w:rPr>
                <w:rFonts w:ascii="Times New Roman" w:eastAsia="Times New Roman" w:hAnsi="Times New Roman" w:cs="Times New Roman"/>
                <w:i/>
                <w:iCs/>
                <w:color w:val="000000"/>
                <w:sz w:val="24"/>
                <w:szCs w:val="24"/>
              </w:rPr>
              <w:t>t</w:t>
            </w:r>
            <w:r w:rsidRPr="008B39E1">
              <w:rPr>
                <w:rFonts w:ascii="Times New Roman" w:eastAsia="Times New Roman" w:hAnsi="Times New Roman" w:cs="Times New Roman"/>
                <w:color w:val="000000"/>
                <w:sz w:val="24"/>
                <w:szCs w:val="24"/>
              </w:rPr>
              <w:t>.)</w:t>
            </w:r>
          </w:p>
        </w:tc>
      </w:tr>
      <w:tr w:rsidR="00C500AD" w:rsidRPr="008B39E1" w14:paraId="240A14F0" w14:textId="77777777" w:rsidTr="00D727A4">
        <w:trPr>
          <w:trHeight w:val="662"/>
          <w:jc w:val="center"/>
        </w:trPr>
        <w:tc>
          <w:tcPr>
            <w:tcW w:w="1928" w:type="pct"/>
            <w:tcBorders>
              <w:top w:val="nil"/>
              <w:left w:val="nil"/>
              <w:bottom w:val="nil"/>
              <w:right w:val="nil"/>
            </w:tcBorders>
            <w:shd w:val="clear" w:color="auto" w:fill="auto"/>
          </w:tcPr>
          <w:p w14:paraId="35B4D205"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ROA</w:t>
            </w:r>
          </w:p>
        </w:tc>
        <w:tc>
          <w:tcPr>
            <w:tcW w:w="243" w:type="pct"/>
            <w:tcBorders>
              <w:top w:val="nil"/>
              <w:left w:val="nil"/>
              <w:bottom w:val="nil"/>
              <w:right w:val="nil"/>
            </w:tcBorders>
            <w:shd w:val="clear" w:color="auto" w:fill="auto"/>
            <w:noWrap/>
          </w:tcPr>
          <w:p w14:paraId="74E9E59A"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4C1A3257"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Return on assets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color w:val="000000"/>
                <w:sz w:val="24"/>
                <w:szCs w:val="24"/>
              </w:rPr>
              <w:t xml:space="preserve"> data</w:t>
            </w:r>
            <w:r w:rsidRPr="008B39E1">
              <w:rPr>
                <w:rFonts w:ascii="Times New Roman" w:eastAsia="Times New Roman" w:hAnsi="Times New Roman" w:cs="Times New Roman"/>
                <w:i/>
                <w:iCs/>
                <w:color w:val="000000"/>
                <w:sz w:val="24"/>
                <w:szCs w:val="24"/>
              </w:rPr>
              <w:t xml:space="preserve"> </w:t>
            </w:r>
            <w:proofErr w:type="spellStart"/>
            <w:r w:rsidRPr="008B39E1">
              <w:rPr>
                <w:rFonts w:ascii="Times New Roman" w:eastAsia="Times New Roman" w:hAnsi="Times New Roman" w:cs="Times New Roman"/>
                <w:i/>
                <w:iCs/>
                <w:color w:val="000000"/>
                <w:sz w:val="24"/>
                <w:szCs w:val="24"/>
              </w:rPr>
              <w:t>IB</w:t>
            </w:r>
            <w:proofErr w:type="spellEnd"/>
            <w:r w:rsidRPr="008B39E1">
              <w:rPr>
                <w:rFonts w:ascii="Times New Roman" w:eastAsia="Times New Roman" w:hAnsi="Times New Roman" w:cs="Times New Roman"/>
                <w:i/>
                <w:iCs/>
                <w:color w:val="000000"/>
                <w:sz w:val="24"/>
                <w:szCs w:val="24"/>
              </w:rPr>
              <w:t>/AT</w:t>
            </w:r>
            <w:r w:rsidRPr="008B39E1">
              <w:rPr>
                <w:rFonts w:ascii="Times New Roman" w:eastAsia="Times New Roman" w:hAnsi="Times New Roman" w:cs="Times New Roman"/>
                <w:color w:val="000000"/>
                <w:sz w:val="24"/>
                <w:szCs w:val="24"/>
              </w:rPr>
              <w:t xml:space="preserve">) in period </w:t>
            </w:r>
            <w:r w:rsidRPr="008B39E1">
              <w:rPr>
                <w:rFonts w:ascii="Times New Roman" w:eastAsia="Times New Roman" w:hAnsi="Times New Roman" w:cs="Times New Roman"/>
                <w:i/>
                <w:iCs/>
                <w:color w:val="000000"/>
                <w:sz w:val="24"/>
                <w:szCs w:val="24"/>
              </w:rPr>
              <w:t>t</w:t>
            </w:r>
            <w:r w:rsidRPr="008B39E1">
              <w:rPr>
                <w:rFonts w:ascii="Times New Roman" w:eastAsia="Times New Roman" w:hAnsi="Times New Roman" w:cs="Times New Roman"/>
                <w:color w:val="000000"/>
                <w:sz w:val="24"/>
                <w:szCs w:val="24"/>
              </w:rPr>
              <w:t>.</w:t>
            </w:r>
          </w:p>
        </w:tc>
      </w:tr>
      <w:tr w:rsidR="00C500AD" w:rsidRPr="008B39E1" w14:paraId="460647AB" w14:textId="77777777" w:rsidTr="00D727A4">
        <w:trPr>
          <w:trHeight w:val="662"/>
          <w:jc w:val="center"/>
        </w:trPr>
        <w:tc>
          <w:tcPr>
            <w:tcW w:w="1928" w:type="pct"/>
            <w:tcBorders>
              <w:top w:val="nil"/>
              <w:left w:val="nil"/>
              <w:bottom w:val="nil"/>
              <w:right w:val="nil"/>
            </w:tcBorders>
            <w:shd w:val="clear" w:color="auto" w:fill="auto"/>
          </w:tcPr>
          <w:p w14:paraId="31D21328"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LOSS</w:t>
            </w:r>
          </w:p>
        </w:tc>
        <w:tc>
          <w:tcPr>
            <w:tcW w:w="243" w:type="pct"/>
            <w:tcBorders>
              <w:top w:val="nil"/>
              <w:left w:val="nil"/>
              <w:bottom w:val="nil"/>
              <w:right w:val="nil"/>
            </w:tcBorders>
            <w:shd w:val="clear" w:color="auto" w:fill="auto"/>
            <w:noWrap/>
          </w:tcPr>
          <w:p w14:paraId="6335A272"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1BA5E31B"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 if net income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color w:val="000000"/>
                <w:sz w:val="24"/>
                <w:szCs w:val="24"/>
              </w:rPr>
              <w:t xml:space="preserve"> data</w:t>
            </w:r>
            <w:r w:rsidRPr="008B39E1">
              <w:rPr>
                <w:rFonts w:ascii="Times New Roman" w:eastAsia="Times New Roman" w:hAnsi="Times New Roman" w:cs="Times New Roman"/>
                <w:i/>
                <w:iCs/>
                <w:color w:val="000000"/>
                <w:sz w:val="24"/>
                <w:szCs w:val="24"/>
              </w:rPr>
              <w:t xml:space="preserve"> NI</w:t>
            </w:r>
            <w:r w:rsidRPr="008B39E1">
              <w:rPr>
                <w:rFonts w:ascii="Times New Roman" w:eastAsia="Times New Roman" w:hAnsi="Times New Roman" w:cs="Times New Roman"/>
                <w:color w:val="000000"/>
                <w:sz w:val="24"/>
                <w:szCs w:val="24"/>
              </w:rPr>
              <w:t xml:space="preserve">) for period </w:t>
            </w:r>
            <w:r w:rsidRPr="008B39E1">
              <w:rPr>
                <w:rFonts w:ascii="Times New Roman" w:eastAsia="Times New Roman" w:hAnsi="Times New Roman" w:cs="Times New Roman"/>
                <w:i/>
                <w:iCs/>
                <w:color w:val="000000"/>
                <w:sz w:val="24"/>
                <w:szCs w:val="24"/>
              </w:rPr>
              <w:t>t</w:t>
            </w:r>
            <w:r w:rsidRPr="008B39E1">
              <w:rPr>
                <w:rFonts w:ascii="Times New Roman" w:eastAsia="Times New Roman" w:hAnsi="Times New Roman" w:cs="Times New Roman"/>
                <w:color w:val="000000"/>
                <w:sz w:val="24"/>
                <w:szCs w:val="24"/>
              </w:rPr>
              <w:t xml:space="preserve"> is &lt;0, and 0 otherwise.  </w:t>
            </w:r>
          </w:p>
        </w:tc>
      </w:tr>
      <w:tr w:rsidR="00C500AD" w:rsidRPr="008B39E1" w14:paraId="12A40CC7" w14:textId="77777777" w:rsidTr="00D727A4">
        <w:trPr>
          <w:trHeight w:val="662"/>
          <w:jc w:val="center"/>
        </w:trPr>
        <w:tc>
          <w:tcPr>
            <w:tcW w:w="1928" w:type="pct"/>
            <w:tcBorders>
              <w:top w:val="nil"/>
              <w:left w:val="nil"/>
              <w:bottom w:val="nil"/>
              <w:right w:val="nil"/>
            </w:tcBorders>
            <w:shd w:val="clear" w:color="auto" w:fill="auto"/>
          </w:tcPr>
          <w:p w14:paraId="79F8422F"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BM</w:t>
            </w:r>
          </w:p>
        </w:tc>
        <w:tc>
          <w:tcPr>
            <w:tcW w:w="243" w:type="pct"/>
            <w:tcBorders>
              <w:top w:val="nil"/>
              <w:left w:val="nil"/>
              <w:bottom w:val="nil"/>
              <w:right w:val="nil"/>
            </w:tcBorders>
            <w:shd w:val="clear" w:color="auto" w:fill="auto"/>
            <w:noWrap/>
          </w:tcPr>
          <w:p w14:paraId="441007D3"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36090225"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Book to market value ratio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color w:val="000000"/>
                <w:sz w:val="24"/>
                <w:szCs w:val="24"/>
              </w:rPr>
              <w:t xml:space="preserve"> data</w:t>
            </w:r>
            <w:r w:rsidRPr="008B39E1">
              <w:rPr>
                <w:rFonts w:ascii="Times New Roman" w:eastAsia="Times New Roman" w:hAnsi="Times New Roman" w:cs="Times New Roman"/>
                <w:i/>
                <w:iCs/>
                <w:color w:val="000000"/>
                <w:sz w:val="24"/>
                <w:szCs w:val="24"/>
              </w:rPr>
              <w:t xml:space="preserve"> </w:t>
            </w:r>
            <w:r w:rsidRPr="008B39E1">
              <w:rPr>
                <w:rFonts w:ascii="Times New Roman" w:eastAsia="Times New Roman" w:hAnsi="Times New Roman" w:cs="Times New Roman"/>
                <w:color w:val="000000"/>
                <w:sz w:val="24"/>
                <w:szCs w:val="24"/>
              </w:rPr>
              <w:t>(</w:t>
            </w:r>
            <w:r w:rsidRPr="008B39E1">
              <w:rPr>
                <w:rFonts w:ascii="Times New Roman" w:eastAsia="Times New Roman" w:hAnsi="Times New Roman" w:cs="Times New Roman"/>
                <w:i/>
                <w:iCs/>
                <w:color w:val="000000"/>
                <w:sz w:val="24"/>
                <w:szCs w:val="24"/>
              </w:rPr>
              <w:t>AT-LT)/(</w:t>
            </w:r>
            <w:proofErr w:type="spellStart"/>
            <w:r w:rsidRPr="008B39E1">
              <w:rPr>
                <w:rFonts w:ascii="Times New Roman" w:eastAsia="Times New Roman" w:hAnsi="Times New Roman" w:cs="Times New Roman"/>
                <w:i/>
                <w:iCs/>
                <w:color w:val="000000"/>
                <w:sz w:val="24"/>
                <w:szCs w:val="24"/>
              </w:rPr>
              <w:t>CSHO</w:t>
            </w:r>
            <w:proofErr w:type="spellEnd"/>
            <w:r w:rsidRPr="008B39E1">
              <w:rPr>
                <w:rFonts w:ascii="Times New Roman" w:eastAsia="Times New Roman" w:hAnsi="Times New Roman" w:cs="Times New Roman"/>
                <w:i/>
                <w:iCs/>
                <w:color w:val="000000"/>
                <w:sz w:val="24"/>
                <w:szCs w:val="24"/>
              </w:rPr>
              <w:t>*</w:t>
            </w:r>
            <w:proofErr w:type="spellStart"/>
            <w:r w:rsidRPr="008B39E1">
              <w:rPr>
                <w:rFonts w:ascii="Times New Roman" w:eastAsia="Times New Roman" w:hAnsi="Times New Roman" w:cs="Times New Roman"/>
                <w:i/>
                <w:iCs/>
                <w:color w:val="000000"/>
                <w:sz w:val="24"/>
                <w:szCs w:val="24"/>
              </w:rPr>
              <w:t>PRCC_F</w:t>
            </w:r>
            <w:proofErr w:type="spellEnd"/>
            <w:r w:rsidRPr="008B39E1">
              <w:rPr>
                <w:rFonts w:ascii="Times New Roman" w:eastAsia="Times New Roman" w:hAnsi="Times New Roman" w:cs="Times New Roman"/>
                <w:i/>
                <w:iCs/>
                <w:color w:val="000000"/>
                <w:sz w:val="24"/>
                <w:szCs w:val="24"/>
              </w:rPr>
              <w:t>)</w:t>
            </w:r>
            <w:r w:rsidRPr="008B39E1">
              <w:rPr>
                <w:rFonts w:ascii="Times New Roman" w:eastAsia="Times New Roman" w:hAnsi="Times New Roman" w:cs="Times New Roman"/>
                <w:color w:val="000000"/>
                <w:sz w:val="24"/>
                <w:szCs w:val="24"/>
              </w:rPr>
              <w:t xml:space="preserve">) for period </w:t>
            </w:r>
            <w:r w:rsidRPr="008B39E1">
              <w:rPr>
                <w:rFonts w:ascii="Times New Roman" w:eastAsia="Times New Roman" w:hAnsi="Times New Roman" w:cs="Times New Roman"/>
                <w:i/>
                <w:iCs/>
                <w:color w:val="000000"/>
                <w:sz w:val="24"/>
                <w:szCs w:val="24"/>
              </w:rPr>
              <w:t>t</w:t>
            </w:r>
            <w:r w:rsidRPr="008B39E1">
              <w:rPr>
                <w:rFonts w:ascii="Times New Roman" w:eastAsia="Times New Roman" w:hAnsi="Times New Roman" w:cs="Times New Roman"/>
                <w:color w:val="000000"/>
                <w:sz w:val="24"/>
                <w:szCs w:val="24"/>
              </w:rPr>
              <w:t>.</w:t>
            </w:r>
          </w:p>
        </w:tc>
      </w:tr>
      <w:tr w:rsidR="00C500AD" w:rsidRPr="008B39E1" w14:paraId="48B80469" w14:textId="77777777" w:rsidTr="00D727A4">
        <w:trPr>
          <w:trHeight w:val="662"/>
          <w:jc w:val="center"/>
        </w:trPr>
        <w:tc>
          <w:tcPr>
            <w:tcW w:w="1928" w:type="pct"/>
            <w:tcBorders>
              <w:top w:val="nil"/>
              <w:left w:val="nil"/>
              <w:bottom w:val="nil"/>
              <w:right w:val="nil"/>
            </w:tcBorders>
            <w:shd w:val="clear" w:color="auto" w:fill="auto"/>
          </w:tcPr>
          <w:p w14:paraId="3A8ADEC6"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LEVDEBT</w:t>
            </w:r>
            <w:proofErr w:type="spellEnd"/>
          </w:p>
        </w:tc>
        <w:tc>
          <w:tcPr>
            <w:tcW w:w="243" w:type="pct"/>
            <w:tcBorders>
              <w:top w:val="nil"/>
              <w:left w:val="nil"/>
              <w:bottom w:val="nil"/>
              <w:right w:val="nil"/>
            </w:tcBorders>
            <w:shd w:val="clear" w:color="auto" w:fill="auto"/>
            <w:noWrap/>
          </w:tcPr>
          <w:p w14:paraId="7C911968"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6588B5EC"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Total long-term debt over total assets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i/>
                <w:iCs/>
                <w:color w:val="000000"/>
                <w:sz w:val="24"/>
                <w:szCs w:val="24"/>
              </w:rPr>
              <w:t xml:space="preserve"> </w:t>
            </w:r>
            <w:r w:rsidRPr="008B39E1">
              <w:rPr>
                <w:rFonts w:ascii="Times New Roman" w:eastAsia="Times New Roman" w:hAnsi="Times New Roman" w:cs="Times New Roman"/>
                <w:color w:val="000000"/>
                <w:sz w:val="24"/>
                <w:szCs w:val="24"/>
              </w:rPr>
              <w:t xml:space="preserve">data </w:t>
            </w:r>
            <w:proofErr w:type="spellStart"/>
            <w:r w:rsidRPr="008B39E1">
              <w:rPr>
                <w:rFonts w:ascii="Times New Roman" w:eastAsia="Times New Roman" w:hAnsi="Times New Roman" w:cs="Times New Roman"/>
                <w:i/>
                <w:iCs/>
                <w:color w:val="000000"/>
                <w:sz w:val="24"/>
                <w:szCs w:val="24"/>
              </w:rPr>
              <w:t>DLTT</w:t>
            </w:r>
            <w:proofErr w:type="spellEnd"/>
            <w:r w:rsidRPr="008B39E1">
              <w:rPr>
                <w:rFonts w:ascii="Times New Roman" w:eastAsia="Times New Roman" w:hAnsi="Times New Roman" w:cs="Times New Roman"/>
                <w:i/>
                <w:iCs/>
                <w:color w:val="000000"/>
                <w:sz w:val="24"/>
                <w:szCs w:val="24"/>
              </w:rPr>
              <w:t>/AT</w:t>
            </w:r>
            <w:r w:rsidRPr="008B39E1">
              <w:rPr>
                <w:rFonts w:ascii="Times New Roman" w:eastAsia="Times New Roman" w:hAnsi="Times New Roman" w:cs="Times New Roman"/>
                <w:color w:val="000000"/>
                <w:sz w:val="24"/>
                <w:szCs w:val="24"/>
              </w:rPr>
              <w:t xml:space="preserve">) for period </w:t>
            </w:r>
            <w:r w:rsidRPr="008B39E1">
              <w:rPr>
                <w:rFonts w:ascii="Times New Roman" w:eastAsia="Times New Roman" w:hAnsi="Times New Roman" w:cs="Times New Roman"/>
                <w:i/>
                <w:iCs/>
                <w:color w:val="000000"/>
                <w:sz w:val="24"/>
                <w:szCs w:val="24"/>
              </w:rPr>
              <w:t>t</w:t>
            </w:r>
            <w:r w:rsidRPr="008B39E1">
              <w:rPr>
                <w:rFonts w:ascii="Times New Roman" w:eastAsia="Times New Roman" w:hAnsi="Times New Roman" w:cs="Times New Roman"/>
                <w:color w:val="000000"/>
                <w:sz w:val="24"/>
                <w:szCs w:val="24"/>
              </w:rPr>
              <w:t>.</w:t>
            </w:r>
          </w:p>
        </w:tc>
      </w:tr>
      <w:tr w:rsidR="00C500AD" w:rsidRPr="008B39E1" w14:paraId="3EAE5003" w14:textId="77777777" w:rsidTr="00D727A4">
        <w:trPr>
          <w:trHeight w:val="662"/>
          <w:jc w:val="center"/>
        </w:trPr>
        <w:tc>
          <w:tcPr>
            <w:tcW w:w="1928" w:type="pct"/>
            <w:tcBorders>
              <w:top w:val="nil"/>
              <w:left w:val="nil"/>
              <w:bottom w:val="nil"/>
              <w:right w:val="nil"/>
            </w:tcBorders>
            <w:shd w:val="clear" w:color="auto" w:fill="auto"/>
          </w:tcPr>
          <w:p w14:paraId="568E1CA4"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CFO</w:t>
            </w:r>
          </w:p>
        </w:tc>
        <w:tc>
          <w:tcPr>
            <w:tcW w:w="243" w:type="pct"/>
            <w:tcBorders>
              <w:top w:val="nil"/>
              <w:left w:val="nil"/>
              <w:bottom w:val="nil"/>
              <w:right w:val="nil"/>
            </w:tcBorders>
            <w:shd w:val="clear" w:color="auto" w:fill="auto"/>
            <w:noWrap/>
          </w:tcPr>
          <w:p w14:paraId="24ED9A05"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4A3A6E82"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Cash flow from operations over total assets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i/>
                <w:iCs/>
                <w:color w:val="000000"/>
                <w:sz w:val="24"/>
                <w:szCs w:val="24"/>
              </w:rPr>
              <w:t xml:space="preserve"> </w:t>
            </w:r>
            <w:r w:rsidRPr="008B39E1">
              <w:rPr>
                <w:rFonts w:ascii="Times New Roman" w:eastAsia="Times New Roman" w:hAnsi="Times New Roman" w:cs="Times New Roman"/>
                <w:color w:val="000000"/>
                <w:sz w:val="24"/>
                <w:szCs w:val="24"/>
              </w:rPr>
              <w:t xml:space="preserve">data </w:t>
            </w:r>
            <w:proofErr w:type="spellStart"/>
            <w:r w:rsidRPr="008B39E1">
              <w:rPr>
                <w:rFonts w:ascii="Times New Roman" w:eastAsia="Times New Roman" w:hAnsi="Times New Roman" w:cs="Times New Roman"/>
                <w:i/>
                <w:iCs/>
                <w:color w:val="000000"/>
                <w:sz w:val="24"/>
                <w:szCs w:val="24"/>
              </w:rPr>
              <w:t>OANCF</w:t>
            </w:r>
            <w:proofErr w:type="spellEnd"/>
            <w:r w:rsidRPr="008B39E1">
              <w:rPr>
                <w:rFonts w:ascii="Times New Roman" w:eastAsia="Times New Roman" w:hAnsi="Times New Roman" w:cs="Times New Roman"/>
                <w:i/>
                <w:iCs/>
                <w:color w:val="000000"/>
                <w:sz w:val="24"/>
                <w:szCs w:val="24"/>
              </w:rPr>
              <w:t>/AT</w:t>
            </w:r>
            <w:r w:rsidRPr="008B39E1">
              <w:rPr>
                <w:rFonts w:ascii="Times New Roman" w:eastAsia="Times New Roman" w:hAnsi="Times New Roman" w:cs="Times New Roman"/>
                <w:color w:val="000000"/>
                <w:sz w:val="24"/>
                <w:szCs w:val="24"/>
              </w:rPr>
              <w:t xml:space="preserve">) for period </w:t>
            </w:r>
            <w:r w:rsidRPr="008B39E1">
              <w:rPr>
                <w:rFonts w:ascii="Times New Roman" w:eastAsia="Times New Roman" w:hAnsi="Times New Roman" w:cs="Times New Roman"/>
                <w:i/>
                <w:iCs/>
                <w:color w:val="000000"/>
                <w:sz w:val="24"/>
                <w:szCs w:val="24"/>
              </w:rPr>
              <w:t>t</w:t>
            </w:r>
            <w:r w:rsidRPr="008B39E1">
              <w:rPr>
                <w:rFonts w:ascii="Times New Roman" w:eastAsia="Times New Roman" w:hAnsi="Times New Roman" w:cs="Times New Roman"/>
                <w:color w:val="000000"/>
                <w:sz w:val="24"/>
                <w:szCs w:val="24"/>
              </w:rPr>
              <w:t>.</w:t>
            </w:r>
          </w:p>
        </w:tc>
      </w:tr>
      <w:tr w:rsidR="00C500AD" w:rsidRPr="008B39E1" w14:paraId="24EAF515" w14:textId="77777777" w:rsidTr="00D727A4">
        <w:trPr>
          <w:trHeight w:val="662"/>
          <w:jc w:val="center"/>
        </w:trPr>
        <w:tc>
          <w:tcPr>
            <w:tcW w:w="1928" w:type="pct"/>
            <w:tcBorders>
              <w:top w:val="nil"/>
              <w:left w:val="nil"/>
              <w:bottom w:val="nil"/>
              <w:right w:val="nil"/>
            </w:tcBorders>
            <w:shd w:val="clear" w:color="auto" w:fill="auto"/>
          </w:tcPr>
          <w:p w14:paraId="40405450"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INV</w:t>
            </w:r>
          </w:p>
        </w:tc>
        <w:tc>
          <w:tcPr>
            <w:tcW w:w="243" w:type="pct"/>
            <w:tcBorders>
              <w:top w:val="nil"/>
              <w:left w:val="nil"/>
              <w:bottom w:val="nil"/>
              <w:right w:val="nil"/>
            </w:tcBorders>
            <w:shd w:val="clear" w:color="auto" w:fill="auto"/>
            <w:noWrap/>
          </w:tcPr>
          <w:p w14:paraId="7EEF5700"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nil"/>
              <w:right w:val="nil"/>
            </w:tcBorders>
            <w:shd w:val="clear" w:color="auto" w:fill="auto"/>
          </w:tcPr>
          <w:p w14:paraId="3EE9A851"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Total inventory over total assets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color w:val="000000"/>
                <w:sz w:val="24"/>
                <w:szCs w:val="24"/>
              </w:rPr>
              <w:t xml:space="preserve"> data</w:t>
            </w:r>
            <w:r w:rsidRPr="008B39E1">
              <w:rPr>
                <w:rFonts w:ascii="Times New Roman" w:eastAsia="Times New Roman" w:hAnsi="Times New Roman" w:cs="Times New Roman"/>
                <w:i/>
                <w:iCs/>
                <w:color w:val="000000"/>
                <w:sz w:val="24"/>
                <w:szCs w:val="24"/>
              </w:rPr>
              <w:t xml:space="preserve"> </w:t>
            </w:r>
            <w:proofErr w:type="spellStart"/>
            <w:r w:rsidRPr="008B39E1">
              <w:rPr>
                <w:rFonts w:ascii="Times New Roman" w:eastAsia="Times New Roman" w:hAnsi="Times New Roman" w:cs="Times New Roman"/>
                <w:i/>
                <w:iCs/>
                <w:color w:val="000000"/>
                <w:sz w:val="24"/>
                <w:szCs w:val="24"/>
              </w:rPr>
              <w:t>INVT</w:t>
            </w:r>
            <w:proofErr w:type="spellEnd"/>
            <w:r w:rsidRPr="008B39E1">
              <w:rPr>
                <w:rFonts w:ascii="Times New Roman" w:eastAsia="Times New Roman" w:hAnsi="Times New Roman" w:cs="Times New Roman"/>
                <w:i/>
                <w:iCs/>
                <w:color w:val="000000"/>
                <w:sz w:val="24"/>
                <w:szCs w:val="24"/>
              </w:rPr>
              <w:t>/AT</w:t>
            </w:r>
            <w:r w:rsidRPr="008B39E1">
              <w:rPr>
                <w:rFonts w:ascii="Times New Roman" w:eastAsia="Times New Roman" w:hAnsi="Times New Roman" w:cs="Times New Roman"/>
                <w:color w:val="000000"/>
                <w:sz w:val="24"/>
                <w:szCs w:val="24"/>
              </w:rPr>
              <w:t xml:space="preserve">) for period </w:t>
            </w:r>
            <w:r w:rsidRPr="008B39E1">
              <w:rPr>
                <w:rFonts w:ascii="Times New Roman" w:eastAsia="Times New Roman" w:hAnsi="Times New Roman" w:cs="Times New Roman"/>
                <w:i/>
                <w:iCs/>
                <w:color w:val="000000"/>
                <w:sz w:val="24"/>
                <w:szCs w:val="24"/>
              </w:rPr>
              <w:t>t</w:t>
            </w:r>
            <w:r w:rsidRPr="008B39E1">
              <w:rPr>
                <w:rFonts w:ascii="Times New Roman" w:eastAsia="Times New Roman" w:hAnsi="Times New Roman" w:cs="Times New Roman"/>
                <w:color w:val="000000"/>
                <w:sz w:val="24"/>
                <w:szCs w:val="24"/>
              </w:rPr>
              <w:t>.</w:t>
            </w:r>
          </w:p>
        </w:tc>
      </w:tr>
      <w:tr w:rsidR="00C500AD" w:rsidRPr="008B39E1" w14:paraId="661C3F82" w14:textId="77777777" w:rsidTr="00D727A4">
        <w:trPr>
          <w:trHeight w:val="662"/>
          <w:jc w:val="center"/>
        </w:trPr>
        <w:tc>
          <w:tcPr>
            <w:tcW w:w="1928" w:type="pct"/>
            <w:tcBorders>
              <w:top w:val="nil"/>
              <w:left w:val="nil"/>
              <w:right w:val="nil"/>
            </w:tcBorders>
            <w:shd w:val="clear" w:color="auto" w:fill="auto"/>
          </w:tcPr>
          <w:p w14:paraId="64C8EF4F"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REC</w:t>
            </w:r>
          </w:p>
        </w:tc>
        <w:tc>
          <w:tcPr>
            <w:tcW w:w="243" w:type="pct"/>
            <w:tcBorders>
              <w:top w:val="nil"/>
              <w:left w:val="nil"/>
              <w:right w:val="nil"/>
            </w:tcBorders>
            <w:shd w:val="clear" w:color="auto" w:fill="auto"/>
            <w:noWrap/>
          </w:tcPr>
          <w:p w14:paraId="0B918AE2"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right w:val="nil"/>
            </w:tcBorders>
            <w:shd w:val="clear" w:color="auto" w:fill="auto"/>
          </w:tcPr>
          <w:p w14:paraId="6989CA21"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Total receivables over total assets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color w:val="000000"/>
                <w:sz w:val="24"/>
                <w:szCs w:val="24"/>
              </w:rPr>
              <w:t xml:space="preserve"> data</w:t>
            </w:r>
            <w:r w:rsidRPr="008B39E1">
              <w:rPr>
                <w:rFonts w:ascii="Times New Roman" w:eastAsia="Times New Roman" w:hAnsi="Times New Roman" w:cs="Times New Roman"/>
                <w:i/>
                <w:iCs/>
                <w:color w:val="000000"/>
                <w:sz w:val="24"/>
                <w:szCs w:val="24"/>
              </w:rPr>
              <w:t xml:space="preserve"> </w:t>
            </w:r>
            <w:proofErr w:type="spellStart"/>
            <w:r w:rsidRPr="008B39E1">
              <w:rPr>
                <w:rFonts w:ascii="Times New Roman" w:eastAsia="Times New Roman" w:hAnsi="Times New Roman" w:cs="Times New Roman"/>
                <w:i/>
                <w:iCs/>
                <w:color w:val="000000"/>
                <w:sz w:val="24"/>
                <w:szCs w:val="24"/>
              </w:rPr>
              <w:t>RECT</w:t>
            </w:r>
            <w:proofErr w:type="spellEnd"/>
            <w:r w:rsidRPr="008B39E1">
              <w:rPr>
                <w:rFonts w:ascii="Times New Roman" w:eastAsia="Times New Roman" w:hAnsi="Times New Roman" w:cs="Times New Roman"/>
                <w:i/>
                <w:iCs/>
                <w:color w:val="000000"/>
                <w:sz w:val="24"/>
                <w:szCs w:val="24"/>
              </w:rPr>
              <w:t>/AT</w:t>
            </w:r>
            <w:r w:rsidRPr="008B39E1">
              <w:rPr>
                <w:rFonts w:ascii="Times New Roman" w:eastAsia="Times New Roman" w:hAnsi="Times New Roman" w:cs="Times New Roman"/>
                <w:color w:val="000000"/>
                <w:sz w:val="24"/>
                <w:szCs w:val="24"/>
              </w:rPr>
              <w:t xml:space="preserve">) for period </w:t>
            </w:r>
            <w:r w:rsidRPr="008B39E1">
              <w:rPr>
                <w:rFonts w:ascii="Times New Roman" w:eastAsia="Times New Roman" w:hAnsi="Times New Roman" w:cs="Times New Roman"/>
                <w:i/>
                <w:iCs/>
                <w:color w:val="000000"/>
                <w:sz w:val="24"/>
                <w:szCs w:val="24"/>
              </w:rPr>
              <w:t>t</w:t>
            </w:r>
            <w:r w:rsidRPr="008B39E1">
              <w:rPr>
                <w:rFonts w:ascii="Times New Roman" w:eastAsia="Times New Roman" w:hAnsi="Times New Roman" w:cs="Times New Roman"/>
                <w:color w:val="000000"/>
                <w:sz w:val="24"/>
                <w:szCs w:val="24"/>
              </w:rPr>
              <w:t>.</w:t>
            </w:r>
          </w:p>
        </w:tc>
      </w:tr>
      <w:tr w:rsidR="00C500AD" w:rsidRPr="008B39E1" w14:paraId="748C8FDB" w14:textId="77777777" w:rsidTr="00D727A4">
        <w:trPr>
          <w:trHeight w:val="662"/>
          <w:jc w:val="center"/>
        </w:trPr>
        <w:tc>
          <w:tcPr>
            <w:tcW w:w="1928" w:type="pct"/>
            <w:tcBorders>
              <w:top w:val="nil"/>
              <w:left w:val="nil"/>
              <w:bottom w:val="single" w:sz="4" w:space="0" w:color="auto"/>
              <w:right w:val="nil"/>
            </w:tcBorders>
            <w:shd w:val="clear" w:color="auto" w:fill="auto"/>
          </w:tcPr>
          <w:p w14:paraId="64BD512A" w14:textId="77777777" w:rsidR="00C500AD" w:rsidRPr="008B39E1" w:rsidRDefault="00C500AD" w:rsidP="000F0F5A">
            <w:pPr>
              <w:spacing w:after="0" w:line="240" w:lineRule="auto"/>
              <w:ind w:firstLineChars="100" w:firstLine="240"/>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BIG4</w:t>
            </w:r>
          </w:p>
        </w:tc>
        <w:tc>
          <w:tcPr>
            <w:tcW w:w="243" w:type="pct"/>
            <w:tcBorders>
              <w:top w:val="nil"/>
              <w:left w:val="nil"/>
              <w:bottom w:val="single" w:sz="4" w:space="0" w:color="auto"/>
              <w:right w:val="nil"/>
            </w:tcBorders>
            <w:shd w:val="clear" w:color="auto" w:fill="auto"/>
            <w:noWrap/>
          </w:tcPr>
          <w:p w14:paraId="4DDFAA86" w14:textId="77777777" w:rsidR="00C500AD" w:rsidRPr="008B39E1" w:rsidRDefault="00C500A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p>
        </w:tc>
        <w:tc>
          <w:tcPr>
            <w:tcW w:w="2829" w:type="pct"/>
            <w:tcBorders>
              <w:top w:val="nil"/>
              <w:left w:val="nil"/>
              <w:bottom w:val="single" w:sz="4" w:space="0" w:color="auto"/>
              <w:right w:val="nil"/>
            </w:tcBorders>
            <w:shd w:val="clear" w:color="auto" w:fill="auto"/>
          </w:tcPr>
          <w:p w14:paraId="189DB099" w14:textId="77777777" w:rsidR="00C500AD" w:rsidRPr="008B39E1" w:rsidRDefault="00C500A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1 if firm is audited by a Big 4 auditor (EY, PWC, KPMG, Deloitte) in period </w:t>
            </w:r>
            <w:r w:rsidRPr="008B39E1">
              <w:rPr>
                <w:rFonts w:ascii="Times New Roman" w:eastAsia="Times New Roman" w:hAnsi="Times New Roman" w:cs="Times New Roman"/>
                <w:i/>
                <w:iCs/>
                <w:color w:val="000000"/>
                <w:sz w:val="24"/>
                <w:szCs w:val="24"/>
              </w:rPr>
              <w:t>t</w:t>
            </w:r>
            <w:r w:rsidRPr="008B39E1">
              <w:rPr>
                <w:rFonts w:ascii="Times New Roman" w:eastAsia="Times New Roman" w:hAnsi="Times New Roman" w:cs="Times New Roman"/>
                <w:color w:val="000000"/>
                <w:sz w:val="24"/>
                <w:szCs w:val="24"/>
              </w:rPr>
              <w:t>, and 0 otherwise. (Source: Audit Analytics)</w:t>
            </w:r>
          </w:p>
        </w:tc>
      </w:tr>
    </w:tbl>
    <w:p w14:paraId="03A90FFF" w14:textId="77777777" w:rsidR="00576C11" w:rsidRPr="008B39E1" w:rsidRDefault="00576C11" w:rsidP="000F0F5A">
      <w:pPr>
        <w:spacing w:after="0" w:line="240" w:lineRule="auto"/>
        <w:rPr>
          <w:rFonts w:ascii="Times New Roman" w:hAnsi="Times New Roman" w:cs="Times New Roman"/>
          <w:b/>
          <w:bCs/>
          <w:sz w:val="24"/>
          <w:szCs w:val="24"/>
        </w:rPr>
      </w:pPr>
      <w:proofErr w:type="gramStart"/>
      <w:r w:rsidRPr="008B39E1">
        <w:rPr>
          <w:rFonts w:ascii="Times New Roman" w:hAnsi="Times New Roman" w:cs="Times New Roman"/>
          <w:sz w:val="20"/>
          <w:szCs w:val="20"/>
          <w:vertAlign w:val="superscript"/>
        </w:rPr>
        <w:t xml:space="preserve">a </w:t>
      </w:r>
      <w:r w:rsidRPr="008B39E1">
        <w:rPr>
          <w:rFonts w:ascii="Times New Roman" w:hAnsi="Times New Roman" w:cs="Times New Roman"/>
          <w:sz w:val="20"/>
          <w:szCs w:val="20"/>
        </w:rPr>
        <w:t>Northeast</w:t>
      </w:r>
      <w:proofErr w:type="gramEnd"/>
      <w:r w:rsidRPr="008B39E1">
        <w:rPr>
          <w:rFonts w:ascii="Times New Roman" w:hAnsi="Times New Roman" w:cs="Times New Roman"/>
          <w:sz w:val="20"/>
          <w:szCs w:val="20"/>
        </w:rPr>
        <w:t xml:space="preserve"> Regional Center for Rural Development. Website: https://aese.psu.edu/nercrd/community/social-capital-resources</w:t>
      </w:r>
      <w:r w:rsidRPr="008B39E1">
        <w:rPr>
          <w:rFonts w:ascii="Times New Roman" w:hAnsi="Times New Roman" w:cs="Times New Roman"/>
          <w:b/>
          <w:bCs/>
          <w:sz w:val="20"/>
          <w:szCs w:val="20"/>
        </w:rPr>
        <w:t xml:space="preserve"> </w:t>
      </w:r>
      <w:r w:rsidRPr="008B39E1">
        <w:rPr>
          <w:rFonts w:ascii="Times New Roman" w:hAnsi="Times New Roman" w:cs="Times New Roman"/>
          <w:b/>
          <w:bCs/>
          <w:sz w:val="24"/>
          <w:szCs w:val="24"/>
        </w:rPr>
        <w:br w:type="page"/>
      </w:r>
    </w:p>
    <w:p w14:paraId="07D751F4" w14:textId="15CB175C" w:rsidR="00576C11" w:rsidRPr="008B39E1" w:rsidRDefault="00DC55B9"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lastRenderedPageBreak/>
        <w:t>TABLE I</w:t>
      </w:r>
    </w:p>
    <w:p w14:paraId="6A6FA679" w14:textId="7CCB4373" w:rsidR="00576C11" w:rsidRPr="008B39E1" w:rsidRDefault="00AB3974"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Sample</w:t>
      </w:r>
    </w:p>
    <w:p w14:paraId="3D9CC185" w14:textId="67A5C5A7" w:rsidR="00AB3974" w:rsidRPr="008B39E1" w:rsidRDefault="00AB3974"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Panel A: Sample Selection</w:t>
      </w:r>
    </w:p>
    <w:p w14:paraId="58526FEF" w14:textId="77777777" w:rsidR="00576C11" w:rsidRPr="008B39E1" w:rsidRDefault="00576C11" w:rsidP="000F0F5A">
      <w:pPr>
        <w:spacing w:after="0" w:line="240" w:lineRule="auto"/>
        <w:jc w:val="center"/>
        <w:rPr>
          <w:rFonts w:ascii="Times New Roman" w:hAnsi="Times New Roman" w:cs="Times New Roman"/>
          <w:b/>
          <w:bCs/>
          <w:sz w:val="24"/>
          <w:szCs w:val="24"/>
        </w:rPr>
      </w:pPr>
    </w:p>
    <w:tbl>
      <w:tblPr>
        <w:tblW w:w="5000" w:type="pct"/>
        <w:jc w:val="center"/>
        <w:tblLook w:val="04A0" w:firstRow="1" w:lastRow="0" w:firstColumn="1" w:lastColumn="0" w:noHBand="0" w:noVBand="1"/>
      </w:tblPr>
      <w:tblGrid>
        <w:gridCol w:w="7269"/>
        <w:gridCol w:w="2081"/>
      </w:tblGrid>
      <w:tr w:rsidR="00576C11" w:rsidRPr="008B39E1" w14:paraId="4B4F83F1" w14:textId="77777777" w:rsidTr="00D4529C">
        <w:trPr>
          <w:trHeight w:val="317"/>
          <w:jc w:val="center"/>
        </w:trPr>
        <w:tc>
          <w:tcPr>
            <w:tcW w:w="38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D06F4" w14:textId="77777777" w:rsidR="00576C11" w:rsidRPr="008B39E1" w:rsidRDefault="00576C11" w:rsidP="000F0F5A">
            <w:pPr>
              <w:spacing w:after="0" w:line="240" w:lineRule="auto"/>
              <w:jc w:val="center"/>
              <w:rPr>
                <w:rFonts w:ascii="Times New Roman" w:eastAsia="Times New Roman" w:hAnsi="Times New Roman" w:cs="Times New Roman"/>
                <w:b/>
                <w:bCs/>
                <w:color w:val="000000"/>
                <w:sz w:val="24"/>
                <w:szCs w:val="24"/>
              </w:rPr>
            </w:pPr>
          </w:p>
        </w:tc>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20A465" w14:textId="77777777" w:rsidR="00576C11" w:rsidRPr="008B39E1" w:rsidRDefault="00576C11"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Observations</w:t>
            </w:r>
          </w:p>
        </w:tc>
      </w:tr>
      <w:tr w:rsidR="00576C11" w:rsidRPr="008B39E1" w14:paraId="4DA8AC31" w14:textId="77777777" w:rsidTr="00D4529C">
        <w:trPr>
          <w:trHeight w:val="317"/>
          <w:jc w:val="center"/>
        </w:trPr>
        <w:tc>
          <w:tcPr>
            <w:tcW w:w="3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598CE" w14:textId="440EB889" w:rsidR="00576C11" w:rsidRPr="008B39E1" w:rsidRDefault="00576C11"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U.S. firm relocation observations from 200</w:t>
            </w:r>
            <w:r w:rsidR="007908B3" w:rsidRPr="008B39E1">
              <w:rPr>
                <w:rFonts w:ascii="Times New Roman" w:eastAsia="Times New Roman" w:hAnsi="Times New Roman" w:cs="Times New Roman"/>
                <w:color w:val="000000"/>
                <w:sz w:val="24"/>
                <w:szCs w:val="24"/>
              </w:rPr>
              <w:t>5</w:t>
            </w:r>
            <w:r w:rsidRPr="008B39E1">
              <w:rPr>
                <w:rFonts w:ascii="Times New Roman" w:eastAsia="Times New Roman" w:hAnsi="Times New Roman" w:cs="Times New Roman"/>
                <w:color w:val="000000"/>
                <w:sz w:val="24"/>
                <w:szCs w:val="24"/>
              </w:rPr>
              <w:t>-2017 (Source: Form 10-Q and 10-K filings)</w:t>
            </w:r>
          </w:p>
        </w:tc>
        <w:tc>
          <w:tcPr>
            <w:tcW w:w="11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3F206" w14:textId="77777777" w:rsidR="00576C11" w:rsidRPr="008B39E1" w:rsidRDefault="00576C11" w:rsidP="000F0F5A">
            <w:pPr>
              <w:tabs>
                <w:tab w:val="decimal" w:pos="1785"/>
              </w:tabs>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10,057</w:t>
            </w:r>
          </w:p>
        </w:tc>
      </w:tr>
      <w:tr w:rsidR="00576C11" w:rsidRPr="008B39E1" w14:paraId="5D108B94" w14:textId="77777777" w:rsidTr="00D4529C">
        <w:trPr>
          <w:trHeight w:val="317"/>
          <w:jc w:val="center"/>
        </w:trPr>
        <w:tc>
          <w:tcPr>
            <w:tcW w:w="3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E2AFBD" w14:textId="77777777" w:rsidR="00576C11" w:rsidRPr="008B39E1" w:rsidRDefault="00576C11"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Less:</w:t>
            </w:r>
          </w:p>
        </w:tc>
        <w:tc>
          <w:tcPr>
            <w:tcW w:w="11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CBAA1" w14:textId="77777777" w:rsidR="00576C11" w:rsidRPr="008B39E1" w:rsidRDefault="00576C11" w:rsidP="000F0F5A">
            <w:pPr>
              <w:tabs>
                <w:tab w:val="decimal" w:pos="1785"/>
              </w:tabs>
              <w:spacing w:after="0" w:line="240" w:lineRule="auto"/>
              <w:jc w:val="center"/>
              <w:rPr>
                <w:rFonts w:ascii="Times New Roman" w:eastAsia="Times New Roman" w:hAnsi="Times New Roman" w:cs="Times New Roman"/>
                <w:sz w:val="20"/>
                <w:szCs w:val="20"/>
              </w:rPr>
            </w:pPr>
          </w:p>
        </w:tc>
      </w:tr>
      <w:tr w:rsidR="00576C11" w:rsidRPr="008B39E1" w14:paraId="0D627737" w14:textId="77777777" w:rsidTr="00D4529C">
        <w:trPr>
          <w:trHeight w:val="317"/>
          <w:jc w:val="center"/>
        </w:trPr>
        <w:tc>
          <w:tcPr>
            <w:tcW w:w="3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7857B" w14:textId="77777777" w:rsidR="00576C11" w:rsidRPr="008B39E1" w:rsidRDefault="00576C11" w:rsidP="000F0F5A">
            <w:pPr>
              <w:spacing w:after="0" w:line="240" w:lineRule="auto"/>
              <w:ind w:left="249"/>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Missing required </w:t>
            </w:r>
            <w:proofErr w:type="spellStart"/>
            <w:r w:rsidRPr="008B39E1">
              <w:rPr>
                <w:rFonts w:ascii="Times New Roman" w:eastAsia="Times New Roman" w:hAnsi="Times New Roman" w:cs="Times New Roman"/>
                <w:color w:val="000000"/>
                <w:sz w:val="24"/>
                <w:szCs w:val="24"/>
              </w:rPr>
              <w:t>Compustat</w:t>
            </w:r>
            <w:proofErr w:type="spellEnd"/>
            <w:r w:rsidRPr="008B39E1">
              <w:rPr>
                <w:rFonts w:ascii="Times New Roman" w:eastAsia="Times New Roman" w:hAnsi="Times New Roman" w:cs="Times New Roman"/>
                <w:color w:val="000000"/>
                <w:sz w:val="24"/>
                <w:szCs w:val="24"/>
              </w:rPr>
              <w:t xml:space="preserve"> data or information on internal control material weakness from Audit Analytics</w:t>
            </w:r>
          </w:p>
        </w:tc>
        <w:tc>
          <w:tcPr>
            <w:tcW w:w="11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89BEC" w14:textId="77777777" w:rsidR="00576C11" w:rsidRPr="008B39E1" w:rsidRDefault="00576C11" w:rsidP="000F0F5A">
            <w:pPr>
              <w:tabs>
                <w:tab w:val="decimal" w:pos="1785"/>
              </w:tabs>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(4,362)</w:t>
            </w:r>
          </w:p>
        </w:tc>
      </w:tr>
      <w:tr w:rsidR="00576C11" w:rsidRPr="008B39E1" w14:paraId="3D497AE8" w14:textId="77777777" w:rsidTr="00D4529C">
        <w:trPr>
          <w:trHeight w:val="317"/>
          <w:jc w:val="center"/>
        </w:trPr>
        <w:tc>
          <w:tcPr>
            <w:tcW w:w="3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844197" w14:textId="158B95EE" w:rsidR="00576C11" w:rsidRPr="008B39E1" w:rsidRDefault="00EC03C5" w:rsidP="000F0F5A">
            <w:pPr>
              <w:spacing w:after="0" w:line="240" w:lineRule="auto"/>
              <w:ind w:firstLineChars="100" w:firstLine="240"/>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Firms with insufficient pre and/or post relocation data</w:t>
            </w:r>
          </w:p>
        </w:tc>
        <w:tc>
          <w:tcPr>
            <w:tcW w:w="11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4F1B6" w14:textId="77777777" w:rsidR="00576C11" w:rsidRPr="008B39E1" w:rsidRDefault="00576C11" w:rsidP="000F0F5A">
            <w:pPr>
              <w:tabs>
                <w:tab w:val="decimal" w:pos="1785"/>
              </w:tabs>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(3,837)</w:t>
            </w:r>
          </w:p>
        </w:tc>
      </w:tr>
      <w:tr w:rsidR="00E82FF9" w:rsidRPr="008B39E1" w14:paraId="3205E92B" w14:textId="77777777" w:rsidTr="00D4529C">
        <w:trPr>
          <w:trHeight w:val="317"/>
          <w:jc w:val="center"/>
        </w:trPr>
        <w:tc>
          <w:tcPr>
            <w:tcW w:w="3887" w:type="pct"/>
            <w:tcBorders>
              <w:top w:val="single" w:sz="4" w:space="0" w:color="auto"/>
              <w:left w:val="single" w:sz="4" w:space="0" w:color="auto"/>
              <w:bottom w:val="single" w:sz="4" w:space="0" w:color="auto"/>
              <w:right w:val="single" w:sz="4" w:space="0" w:color="auto"/>
            </w:tcBorders>
            <w:shd w:val="clear" w:color="auto" w:fill="auto"/>
            <w:vAlign w:val="center"/>
          </w:tcPr>
          <w:p w14:paraId="73F9F9C6" w14:textId="2BD4758F" w:rsidR="00E82FF9" w:rsidRPr="008B39E1" w:rsidRDefault="00E82FF9" w:rsidP="000F0F5A">
            <w:pPr>
              <w:spacing w:after="0" w:line="240" w:lineRule="auto"/>
              <w:ind w:firstLineChars="100" w:firstLine="240"/>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Firms with missing control observations data</w:t>
            </w:r>
          </w:p>
        </w:tc>
        <w:tc>
          <w:tcPr>
            <w:tcW w:w="11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F01FEF" w14:textId="6C72DE8B" w:rsidR="00E82FF9" w:rsidRPr="008B39E1" w:rsidRDefault="00E82FF9" w:rsidP="000F0F5A">
            <w:pPr>
              <w:tabs>
                <w:tab w:val="decimal" w:pos="1785"/>
              </w:tabs>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(70)</w:t>
            </w:r>
          </w:p>
        </w:tc>
      </w:tr>
      <w:tr w:rsidR="00576C11" w:rsidRPr="008B39E1" w14:paraId="6D6CEB46" w14:textId="77777777" w:rsidTr="00702126">
        <w:trPr>
          <w:trHeight w:val="317"/>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FCDB11" w14:textId="77777777" w:rsidR="00576C11" w:rsidRPr="008B39E1" w:rsidRDefault="00576C11" w:rsidP="000F0F5A">
            <w:pPr>
              <w:tabs>
                <w:tab w:val="decimal" w:pos="1785"/>
              </w:tabs>
              <w:spacing w:after="0" w:line="240" w:lineRule="auto"/>
              <w:jc w:val="center"/>
              <w:rPr>
                <w:rFonts w:ascii="Times New Roman" w:eastAsia="Times New Roman" w:hAnsi="Times New Roman" w:cs="Times New Roman"/>
                <w:sz w:val="20"/>
                <w:szCs w:val="20"/>
              </w:rPr>
            </w:pPr>
          </w:p>
        </w:tc>
      </w:tr>
      <w:tr w:rsidR="00576C11" w:rsidRPr="008B39E1" w14:paraId="0E446A52" w14:textId="77777777" w:rsidTr="00D4529C">
        <w:trPr>
          <w:trHeight w:val="317"/>
          <w:jc w:val="center"/>
        </w:trPr>
        <w:tc>
          <w:tcPr>
            <w:tcW w:w="3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8ABCF1" w14:textId="6AC9245C" w:rsidR="00576C11" w:rsidRPr="008B39E1" w:rsidRDefault="00576C11"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Final </w:t>
            </w:r>
            <w:r w:rsidR="008102E6" w:rsidRPr="008B39E1">
              <w:rPr>
                <w:rFonts w:ascii="Times New Roman" w:eastAsia="Times New Roman" w:hAnsi="Times New Roman" w:cs="Times New Roman"/>
                <w:color w:val="000000"/>
                <w:sz w:val="24"/>
                <w:szCs w:val="24"/>
              </w:rPr>
              <w:t xml:space="preserve">sample of </w:t>
            </w:r>
            <w:r w:rsidR="00815FFF" w:rsidRPr="008B39E1">
              <w:rPr>
                <w:rFonts w:ascii="Times New Roman" w:eastAsia="Times New Roman" w:hAnsi="Times New Roman" w:cs="Times New Roman"/>
                <w:color w:val="000000"/>
                <w:sz w:val="24"/>
                <w:szCs w:val="24"/>
              </w:rPr>
              <w:t xml:space="preserve">relocation </w:t>
            </w:r>
            <w:r w:rsidR="008102E6" w:rsidRPr="008B39E1">
              <w:rPr>
                <w:rFonts w:ascii="Times New Roman" w:eastAsia="Times New Roman" w:hAnsi="Times New Roman" w:cs="Times New Roman"/>
                <w:color w:val="000000"/>
                <w:sz w:val="24"/>
                <w:szCs w:val="24"/>
              </w:rPr>
              <w:t>firm-year observations (pre- and post-years)</w:t>
            </w:r>
          </w:p>
        </w:tc>
        <w:tc>
          <w:tcPr>
            <w:tcW w:w="11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F1B3B" w14:textId="0B6D413E" w:rsidR="00576C11" w:rsidRPr="008B39E1" w:rsidRDefault="00576C11" w:rsidP="000F0F5A">
            <w:pPr>
              <w:tabs>
                <w:tab w:val="decimal" w:pos="1785"/>
              </w:tabs>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w:t>
            </w:r>
            <w:r w:rsidR="00E82FF9" w:rsidRPr="008B39E1">
              <w:rPr>
                <w:rFonts w:ascii="Times New Roman" w:eastAsia="Times New Roman" w:hAnsi="Times New Roman" w:cs="Times New Roman"/>
                <w:color w:val="000000"/>
                <w:sz w:val="24"/>
                <w:szCs w:val="24"/>
              </w:rPr>
              <w:t>788</w:t>
            </w:r>
          </w:p>
        </w:tc>
      </w:tr>
      <w:tr w:rsidR="00D4529C" w:rsidRPr="008B39E1" w14:paraId="0640CC74" w14:textId="77777777" w:rsidTr="00D4529C">
        <w:trPr>
          <w:trHeight w:val="317"/>
          <w:jc w:val="center"/>
        </w:trPr>
        <w:tc>
          <w:tcPr>
            <w:tcW w:w="3887" w:type="pct"/>
            <w:tcBorders>
              <w:top w:val="single" w:sz="4" w:space="0" w:color="auto"/>
              <w:left w:val="single" w:sz="4" w:space="0" w:color="auto"/>
              <w:bottom w:val="single" w:sz="4" w:space="0" w:color="auto"/>
              <w:right w:val="single" w:sz="4" w:space="0" w:color="auto"/>
            </w:tcBorders>
            <w:shd w:val="clear" w:color="auto" w:fill="auto"/>
            <w:vAlign w:val="center"/>
          </w:tcPr>
          <w:p w14:paraId="63F9C993" w14:textId="0D5F346D" w:rsidR="00D4529C" w:rsidRPr="008B39E1" w:rsidRDefault="00D4529C" w:rsidP="000F0F5A">
            <w:pPr>
              <w:spacing w:after="0" w:line="240" w:lineRule="auto"/>
              <w:ind w:left="240"/>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Number of unique firms and relocations</w:t>
            </w:r>
          </w:p>
        </w:tc>
        <w:tc>
          <w:tcPr>
            <w:tcW w:w="11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B6F77B" w14:textId="186ADF5D" w:rsidR="00D4529C" w:rsidRPr="008B39E1" w:rsidRDefault="00D4529C" w:rsidP="000F0F5A">
            <w:pPr>
              <w:tabs>
                <w:tab w:val="decimal" w:pos="1785"/>
              </w:tabs>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894</w:t>
            </w:r>
          </w:p>
        </w:tc>
      </w:tr>
      <w:tr w:rsidR="00D4529C" w:rsidRPr="008B39E1" w14:paraId="50CAEB45" w14:textId="77777777" w:rsidTr="00D4529C">
        <w:trPr>
          <w:trHeight w:val="317"/>
          <w:jc w:val="center"/>
        </w:trPr>
        <w:tc>
          <w:tcPr>
            <w:tcW w:w="3887" w:type="pct"/>
            <w:tcBorders>
              <w:top w:val="single" w:sz="4" w:space="0" w:color="auto"/>
              <w:left w:val="single" w:sz="4" w:space="0" w:color="auto"/>
              <w:bottom w:val="single" w:sz="4" w:space="0" w:color="auto"/>
              <w:right w:val="single" w:sz="4" w:space="0" w:color="auto"/>
            </w:tcBorders>
            <w:shd w:val="clear" w:color="auto" w:fill="auto"/>
            <w:vAlign w:val="center"/>
          </w:tcPr>
          <w:p w14:paraId="4DF15656" w14:textId="6B2977FE" w:rsidR="00D4529C" w:rsidRPr="008B39E1" w:rsidRDefault="00D4529C"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Final sample of control firm-year observations (pre- and post-</w:t>
            </w:r>
            <w:proofErr w:type="gramStart"/>
            <w:r w:rsidRPr="008B39E1">
              <w:rPr>
                <w:rFonts w:ascii="Times New Roman" w:eastAsia="Times New Roman" w:hAnsi="Times New Roman" w:cs="Times New Roman"/>
                <w:color w:val="000000"/>
                <w:sz w:val="24"/>
                <w:szCs w:val="24"/>
              </w:rPr>
              <w:t>years)*</w:t>
            </w:r>
            <w:proofErr w:type="gramEnd"/>
          </w:p>
        </w:tc>
        <w:tc>
          <w:tcPr>
            <w:tcW w:w="11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8A0ABE" w14:textId="79D8DE99" w:rsidR="00D4529C" w:rsidRPr="008B39E1" w:rsidRDefault="00D4529C" w:rsidP="000F0F5A">
            <w:pPr>
              <w:tabs>
                <w:tab w:val="decimal" w:pos="1785"/>
              </w:tabs>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1,788</w:t>
            </w:r>
          </w:p>
        </w:tc>
      </w:tr>
    </w:tbl>
    <w:p w14:paraId="7B86B2CD" w14:textId="2958D026" w:rsidR="00576C11" w:rsidRPr="008B39E1" w:rsidRDefault="00E82FF9" w:rsidP="000F0F5A">
      <w:pPr>
        <w:spacing w:after="0" w:line="240" w:lineRule="auto"/>
        <w:rPr>
          <w:rFonts w:ascii="Times New Roman" w:hAnsi="Times New Roman" w:cs="Times New Roman"/>
          <w:sz w:val="20"/>
          <w:szCs w:val="20"/>
        </w:rPr>
      </w:pPr>
      <w:r w:rsidRPr="008B39E1">
        <w:rPr>
          <w:rFonts w:ascii="Times New Roman" w:hAnsi="Times New Roman" w:cs="Times New Roman"/>
          <w:sz w:val="20"/>
          <w:szCs w:val="20"/>
        </w:rPr>
        <w:t xml:space="preserve">*Control firm-year observations are matched on year of relocation, closest size, and within the same SIC </w:t>
      </w:r>
      <w:r w:rsidR="00E14FC6" w:rsidRPr="008B39E1">
        <w:rPr>
          <w:rFonts w:ascii="Times New Roman" w:hAnsi="Times New Roman" w:cs="Times New Roman"/>
          <w:sz w:val="20"/>
          <w:szCs w:val="20"/>
        </w:rPr>
        <w:t>two</w:t>
      </w:r>
      <w:r w:rsidRPr="008B39E1">
        <w:rPr>
          <w:rFonts w:ascii="Times New Roman" w:hAnsi="Times New Roman" w:cs="Times New Roman"/>
          <w:sz w:val="20"/>
          <w:szCs w:val="20"/>
        </w:rPr>
        <w:t>-digit industry.</w:t>
      </w:r>
    </w:p>
    <w:p w14:paraId="5F2E6FA1" w14:textId="77777777" w:rsidR="003E26FE" w:rsidRPr="008B39E1" w:rsidRDefault="003E26FE" w:rsidP="000F0F5A">
      <w:pPr>
        <w:spacing w:after="0" w:line="240" w:lineRule="auto"/>
        <w:jc w:val="right"/>
        <w:rPr>
          <w:rFonts w:ascii="Times New Roman" w:hAnsi="Times New Roman" w:cs="Times New Roman"/>
          <w:i/>
          <w:iCs/>
          <w:sz w:val="24"/>
          <w:szCs w:val="24"/>
        </w:rPr>
      </w:pPr>
      <w:r w:rsidRPr="008B39E1">
        <w:rPr>
          <w:rFonts w:ascii="Times New Roman" w:hAnsi="Times New Roman" w:cs="Times New Roman"/>
          <w:i/>
          <w:iCs/>
          <w:sz w:val="24"/>
          <w:szCs w:val="24"/>
        </w:rPr>
        <w:t>(Continued on next page)</w:t>
      </w:r>
    </w:p>
    <w:p w14:paraId="0493447E" w14:textId="77777777" w:rsidR="00DB502B" w:rsidRPr="008B39E1" w:rsidRDefault="00DB502B" w:rsidP="000F0F5A">
      <w:pPr>
        <w:spacing w:after="0" w:line="240" w:lineRule="auto"/>
        <w:jc w:val="right"/>
        <w:rPr>
          <w:rFonts w:ascii="Times New Roman" w:hAnsi="Times New Roman" w:cs="Times New Roman"/>
          <w:b/>
          <w:bCs/>
          <w:sz w:val="24"/>
          <w:szCs w:val="24"/>
        </w:rPr>
      </w:pPr>
      <w:r w:rsidRPr="008B39E1">
        <w:rPr>
          <w:rFonts w:ascii="Times New Roman" w:hAnsi="Times New Roman" w:cs="Times New Roman"/>
          <w:b/>
          <w:bCs/>
          <w:sz w:val="24"/>
          <w:szCs w:val="24"/>
        </w:rPr>
        <w:br w:type="page"/>
      </w:r>
    </w:p>
    <w:p w14:paraId="713E3226" w14:textId="6EFA3AAB" w:rsidR="004B2604" w:rsidRPr="008B39E1" w:rsidRDefault="004B2604" w:rsidP="000F0F5A">
      <w:pPr>
        <w:spacing w:after="0" w:line="240" w:lineRule="auto"/>
        <w:rPr>
          <w:rFonts w:ascii="Times New Roman" w:hAnsi="Times New Roman" w:cs="Times New Roman"/>
          <w:i/>
          <w:iCs/>
          <w:sz w:val="24"/>
          <w:szCs w:val="24"/>
        </w:rPr>
      </w:pPr>
      <w:r w:rsidRPr="008B39E1">
        <w:rPr>
          <w:rFonts w:ascii="Times New Roman" w:hAnsi="Times New Roman" w:cs="Times New Roman"/>
          <w:i/>
          <w:iCs/>
          <w:sz w:val="24"/>
          <w:szCs w:val="24"/>
        </w:rPr>
        <w:lastRenderedPageBreak/>
        <w:t>(</w:t>
      </w:r>
      <w:r w:rsidR="00DC55B9" w:rsidRPr="008B39E1">
        <w:rPr>
          <w:rFonts w:ascii="Times New Roman" w:hAnsi="Times New Roman" w:cs="Times New Roman"/>
          <w:i/>
          <w:iCs/>
          <w:sz w:val="24"/>
          <w:szCs w:val="24"/>
        </w:rPr>
        <w:t>TABLE I</w:t>
      </w:r>
      <w:r w:rsidRPr="008B39E1">
        <w:rPr>
          <w:rFonts w:ascii="Times New Roman" w:hAnsi="Times New Roman" w:cs="Times New Roman"/>
          <w:i/>
          <w:iCs/>
          <w:sz w:val="24"/>
          <w:szCs w:val="24"/>
        </w:rPr>
        <w:t xml:space="preserve"> continued)</w:t>
      </w:r>
    </w:p>
    <w:p w14:paraId="27D208F0" w14:textId="77777777" w:rsidR="00E315BD" w:rsidRPr="008B39E1" w:rsidRDefault="00E315BD" w:rsidP="000F0F5A">
      <w:pPr>
        <w:spacing w:after="0" w:line="240" w:lineRule="auto"/>
        <w:rPr>
          <w:rFonts w:ascii="Times New Roman" w:hAnsi="Times New Roman" w:cs="Times New Roman"/>
          <w:b/>
          <w:bCs/>
          <w:sz w:val="24"/>
          <w:szCs w:val="24"/>
        </w:rPr>
      </w:pPr>
    </w:p>
    <w:p w14:paraId="3AEE128B" w14:textId="250E11EA" w:rsidR="00BE4095" w:rsidRPr="008B39E1" w:rsidRDefault="00BE4095" w:rsidP="000F0F5A">
      <w:pPr>
        <w:spacing w:after="0" w:line="240" w:lineRule="auto"/>
        <w:rPr>
          <w:rFonts w:ascii="Times New Roman" w:hAnsi="Times New Roman" w:cs="Times New Roman"/>
          <w:sz w:val="24"/>
          <w:szCs w:val="24"/>
        </w:rPr>
      </w:pPr>
      <w:r w:rsidRPr="008B39E1">
        <w:rPr>
          <w:rFonts w:ascii="Times New Roman" w:hAnsi="Times New Roman" w:cs="Times New Roman"/>
          <w:b/>
          <w:bCs/>
          <w:sz w:val="24"/>
          <w:szCs w:val="24"/>
        </w:rPr>
        <w:t xml:space="preserve">Panel B: </w:t>
      </w:r>
      <w:r w:rsidR="00656023" w:rsidRPr="008B39E1">
        <w:rPr>
          <w:rFonts w:ascii="Times New Roman" w:hAnsi="Times New Roman" w:cs="Times New Roman"/>
          <w:b/>
          <w:bCs/>
          <w:sz w:val="24"/>
          <w:szCs w:val="24"/>
        </w:rPr>
        <w:t>Industry Composition</w:t>
      </w:r>
      <w:r w:rsidR="00656023" w:rsidRPr="008B39E1" w:rsidDel="00656023">
        <w:rPr>
          <w:rFonts w:ascii="Times New Roman" w:hAnsi="Times New Roman" w:cs="Times New Roman"/>
          <w:b/>
          <w:bCs/>
          <w:sz w:val="24"/>
          <w:szCs w:val="24"/>
        </w:rPr>
        <w:t xml:space="preserve"> </w:t>
      </w:r>
      <w:r w:rsidR="001930F0" w:rsidRPr="008B39E1">
        <w:rPr>
          <w:rFonts w:ascii="Times New Roman" w:hAnsi="Times New Roman" w:cs="Times New Roman"/>
          <w:b/>
          <w:bCs/>
          <w:sz w:val="24"/>
          <w:szCs w:val="24"/>
        </w:rPr>
        <w:t xml:space="preserve">of </w:t>
      </w:r>
      <w:r w:rsidR="00656023" w:rsidRPr="008B39E1">
        <w:rPr>
          <w:rFonts w:ascii="Times New Roman" w:hAnsi="Times New Roman" w:cs="Times New Roman"/>
          <w:b/>
          <w:bCs/>
          <w:sz w:val="24"/>
          <w:szCs w:val="24"/>
        </w:rPr>
        <w:t xml:space="preserve">Relocation </w:t>
      </w:r>
      <w:r w:rsidRPr="008B39E1">
        <w:rPr>
          <w:rFonts w:ascii="Times New Roman" w:hAnsi="Times New Roman" w:cs="Times New Roman"/>
          <w:b/>
          <w:bCs/>
          <w:sz w:val="24"/>
          <w:szCs w:val="24"/>
        </w:rPr>
        <w:t xml:space="preserve">and </w:t>
      </w:r>
      <w:r w:rsidR="00656023" w:rsidRPr="008B39E1">
        <w:rPr>
          <w:rFonts w:ascii="Times New Roman" w:hAnsi="Times New Roman" w:cs="Times New Roman"/>
          <w:b/>
          <w:bCs/>
          <w:sz w:val="24"/>
          <w:szCs w:val="24"/>
        </w:rPr>
        <w:t>Control</w:t>
      </w:r>
      <w:r w:rsidRPr="008B39E1">
        <w:rPr>
          <w:rFonts w:ascii="Times New Roman" w:hAnsi="Times New Roman" w:cs="Times New Roman"/>
          <w:b/>
          <w:bCs/>
          <w:sz w:val="24"/>
          <w:szCs w:val="24"/>
        </w:rPr>
        <w:t xml:space="preserve"> Sample</w:t>
      </w:r>
      <w:r w:rsidR="005F704A" w:rsidRPr="008B39E1">
        <w:rPr>
          <w:rFonts w:ascii="Times New Roman" w:hAnsi="Times New Roman" w:cs="Times New Roman"/>
          <w:b/>
          <w:bCs/>
          <w:sz w:val="24"/>
          <w:szCs w:val="24"/>
        </w:rPr>
        <w:t>s</w:t>
      </w:r>
      <w:r w:rsidRPr="008B39E1">
        <w:rPr>
          <w:rFonts w:ascii="Times New Roman" w:hAnsi="Times New Roman" w:cs="Times New Roman"/>
          <w:b/>
          <w:bCs/>
          <w:sz w:val="24"/>
          <w:szCs w:val="24"/>
        </w:rPr>
        <w:t xml:space="preserve"> </w:t>
      </w:r>
    </w:p>
    <w:tbl>
      <w:tblPr>
        <w:tblW w:w="8370" w:type="dxa"/>
        <w:tblLook w:val="04A0" w:firstRow="1" w:lastRow="0" w:firstColumn="1" w:lastColumn="0" w:noHBand="0" w:noVBand="1"/>
      </w:tblPr>
      <w:tblGrid>
        <w:gridCol w:w="5400"/>
        <w:gridCol w:w="1530"/>
        <w:gridCol w:w="1440"/>
      </w:tblGrid>
      <w:tr w:rsidR="00C7187D" w:rsidRPr="008B39E1" w14:paraId="330DD13F" w14:textId="77777777" w:rsidTr="00A22412">
        <w:trPr>
          <w:trHeight w:val="315"/>
        </w:trPr>
        <w:tc>
          <w:tcPr>
            <w:tcW w:w="837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2AD727B" w14:textId="3A08DF6D" w:rsidR="00C7187D" w:rsidRPr="008B39E1" w:rsidRDefault="00CF4198" w:rsidP="000F0F5A">
            <w:pPr>
              <w:spacing w:after="0" w:line="240" w:lineRule="auto"/>
              <w:rPr>
                <w:rFonts w:ascii="Times New Roman" w:eastAsia="Times New Roman" w:hAnsi="Times New Roman" w:cs="Times New Roman"/>
                <w:sz w:val="20"/>
                <w:szCs w:val="20"/>
              </w:rPr>
            </w:pPr>
            <w:r w:rsidRPr="008B39E1">
              <w:rPr>
                <w:rFonts w:ascii="Times New Roman" w:eastAsia="Times New Roman" w:hAnsi="Times New Roman" w:cs="Times New Roman"/>
                <w:color w:val="000000"/>
                <w:sz w:val="24"/>
                <w:szCs w:val="24"/>
              </w:rPr>
              <w:t>RELOCATE</w:t>
            </w:r>
            <w:r w:rsidR="00656023" w:rsidRPr="008B39E1">
              <w:rPr>
                <w:rFonts w:ascii="Times New Roman" w:eastAsia="Times New Roman" w:hAnsi="Times New Roman" w:cs="Times New Roman"/>
                <w:color w:val="000000"/>
                <w:sz w:val="24"/>
                <w:szCs w:val="24"/>
              </w:rPr>
              <w:t xml:space="preserve"> </w:t>
            </w:r>
            <w:r w:rsidR="00C7187D" w:rsidRPr="008B39E1">
              <w:rPr>
                <w:rFonts w:ascii="Times New Roman" w:eastAsia="Times New Roman" w:hAnsi="Times New Roman" w:cs="Times New Roman"/>
                <w:color w:val="000000"/>
                <w:sz w:val="24"/>
                <w:szCs w:val="24"/>
              </w:rPr>
              <w:t>Sample</w:t>
            </w:r>
          </w:p>
        </w:tc>
      </w:tr>
      <w:tr w:rsidR="00C7187D" w:rsidRPr="008B39E1" w14:paraId="50B3F23C" w14:textId="77777777" w:rsidTr="00A22412">
        <w:trPr>
          <w:trHeight w:val="315"/>
        </w:trPr>
        <w:tc>
          <w:tcPr>
            <w:tcW w:w="5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9BB05" w14:textId="48CA3EAB" w:rsidR="00C7187D" w:rsidRPr="008B39E1" w:rsidRDefault="001930F0" w:rsidP="000F0F5A">
            <w:pPr>
              <w:spacing w:after="0" w:line="240" w:lineRule="auto"/>
              <w:rPr>
                <w:rFonts w:ascii="Times New Roman" w:eastAsia="Times New Roman" w:hAnsi="Times New Roman" w:cs="Times New Roman"/>
                <w:color w:val="000000"/>
                <w:sz w:val="24"/>
                <w:szCs w:val="24"/>
              </w:rPr>
            </w:pPr>
            <w:proofErr w:type="spellStart"/>
            <w:r w:rsidRPr="008B39E1">
              <w:rPr>
                <w:rFonts w:ascii="Times New Roman" w:eastAsia="Times New Roman" w:hAnsi="Times New Roman" w:cs="Times New Roman"/>
                <w:color w:val="000000"/>
                <w:sz w:val="24"/>
                <w:szCs w:val="24"/>
              </w:rPr>
              <w:t>Industry</w:t>
            </w:r>
            <w:r w:rsidRPr="008B39E1">
              <w:rPr>
                <w:rFonts w:ascii="Times New Roman" w:eastAsia="Times New Roman" w:hAnsi="Times New Roman" w:cs="Times New Roman"/>
                <w:color w:val="000000"/>
                <w:sz w:val="24"/>
                <w:szCs w:val="24"/>
                <w:vertAlign w:val="superscript"/>
              </w:rPr>
              <w:t>a</w:t>
            </w:r>
            <w:proofErr w:type="spellEnd"/>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6188908" w14:textId="68338C2C" w:rsidR="00C7187D" w:rsidRPr="008B39E1" w:rsidRDefault="001930F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N</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664DC60E"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Percent</w:t>
            </w:r>
          </w:p>
        </w:tc>
      </w:tr>
      <w:tr w:rsidR="00C7187D" w:rsidRPr="008B39E1" w14:paraId="29F0A180"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2260B7E6" w14:textId="25E74229"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Consumer Nondurables </w:t>
            </w:r>
          </w:p>
        </w:tc>
        <w:tc>
          <w:tcPr>
            <w:tcW w:w="1530" w:type="dxa"/>
            <w:tcBorders>
              <w:top w:val="nil"/>
              <w:left w:val="nil"/>
              <w:bottom w:val="single" w:sz="4" w:space="0" w:color="auto"/>
              <w:right w:val="single" w:sz="4" w:space="0" w:color="auto"/>
            </w:tcBorders>
            <w:shd w:val="clear" w:color="auto" w:fill="auto"/>
            <w:noWrap/>
            <w:vAlign w:val="bottom"/>
            <w:hideMark/>
          </w:tcPr>
          <w:p w14:paraId="737BACB2"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80</w:t>
            </w:r>
          </w:p>
        </w:tc>
        <w:tc>
          <w:tcPr>
            <w:tcW w:w="1440" w:type="dxa"/>
            <w:tcBorders>
              <w:top w:val="nil"/>
              <w:left w:val="nil"/>
              <w:bottom w:val="single" w:sz="4" w:space="0" w:color="auto"/>
              <w:right w:val="single" w:sz="4" w:space="0" w:color="auto"/>
            </w:tcBorders>
            <w:shd w:val="clear" w:color="auto" w:fill="auto"/>
            <w:noWrap/>
            <w:vAlign w:val="bottom"/>
            <w:hideMark/>
          </w:tcPr>
          <w:p w14:paraId="6A9D2711"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4.47</w:t>
            </w:r>
          </w:p>
        </w:tc>
      </w:tr>
      <w:tr w:rsidR="00C7187D" w:rsidRPr="008B39E1" w14:paraId="5CCC6424"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0F707BAD" w14:textId="2A004DCE"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Consumer Durables</w:t>
            </w:r>
          </w:p>
        </w:tc>
        <w:tc>
          <w:tcPr>
            <w:tcW w:w="1530" w:type="dxa"/>
            <w:tcBorders>
              <w:top w:val="nil"/>
              <w:left w:val="nil"/>
              <w:bottom w:val="single" w:sz="4" w:space="0" w:color="auto"/>
              <w:right w:val="single" w:sz="4" w:space="0" w:color="auto"/>
            </w:tcBorders>
            <w:shd w:val="clear" w:color="auto" w:fill="auto"/>
            <w:noWrap/>
            <w:vAlign w:val="bottom"/>
            <w:hideMark/>
          </w:tcPr>
          <w:p w14:paraId="69455CF5"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52</w:t>
            </w:r>
          </w:p>
        </w:tc>
        <w:tc>
          <w:tcPr>
            <w:tcW w:w="1440" w:type="dxa"/>
            <w:tcBorders>
              <w:top w:val="nil"/>
              <w:left w:val="nil"/>
              <w:bottom w:val="single" w:sz="4" w:space="0" w:color="auto"/>
              <w:right w:val="single" w:sz="4" w:space="0" w:color="auto"/>
            </w:tcBorders>
            <w:shd w:val="clear" w:color="auto" w:fill="auto"/>
            <w:noWrap/>
            <w:vAlign w:val="bottom"/>
            <w:hideMark/>
          </w:tcPr>
          <w:p w14:paraId="250C1D4A"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2.91</w:t>
            </w:r>
          </w:p>
        </w:tc>
      </w:tr>
      <w:tr w:rsidR="00C7187D" w:rsidRPr="008B39E1" w14:paraId="1EEAD377"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282AA520" w14:textId="6F214C21"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Manufacturing </w:t>
            </w:r>
          </w:p>
        </w:tc>
        <w:tc>
          <w:tcPr>
            <w:tcW w:w="1530" w:type="dxa"/>
            <w:tcBorders>
              <w:top w:val="nil"/>
              <w:left w:val="nil"/>
              <w:bottom w:val="single" w:sz="4" w:space="0" w:color="auto"/>
              <w:right w:val="single" w:sz="4" w:space="0" w:color="auto"/>
            </w:tcBorders>
            <w:shd w:val="clear" w:color="auto" w:fill="auto"/>
            <w:noWrap/>
            <w:vAlign w:val="bottom"/>
            <w:hideMark/>
          </w:tcPr>
          <w:p w14:paraId="070D939F"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174</w:t>
            </w:r>
          </w:p>
        </w:tc>
        <w:tc>
          <w:tcPr>
            <w:tcW w:w="1440" w:type="dxa"/>
            <w:tcBorders>
              <w:top w:val="nil"/>
              <w:left w:val="nil"/>
              <w:bottom w:val="single" w:sz="4" w:space="0" w:color="auto"/>
              <w:right w:val="single" w:sz="4" w:space="0" w:color="auto"/>
            </w:tcBorders>
            <w:shd w:val="clear" w:color="auto" w:fill="auto"/>
            <w:noWrap/>
            <w:vAlign w:val="bottom"/>
            <w:hideMark/>
          </w:tcPr>
          <w:p w14:paraId="2EE4E9D1"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9.73</w:t>
            </w:r>
          </w:p>
        </w:tc>
      </w:tr>
      <w:tr w:rsidR="00C7187D" w:rsidRPr="008B39E1" w14:paraId="2125E400"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31BF3C38" w14:textId="616E3B86"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Oil, Gas, and Coal Extraction and Products</w:t>
            </w:r>
          </w:p>
        </w:tc>
        <w:tc>
          <w:tcPr>
            <w:tcW w:w="1530" w:type="dxa"/>
            <w:tcBorders>
              <w:top w:val="nil"/>
              <w:left w:val="nil"/>
              <w:bottom w:val="single" w:sz="4" w:space="0" w:color="auto"/>
              <w:right w:val="single" w:sz="4" w:space="0" w:color="auto"/>
            </w:tcBorders>
            <w:shd w:val="clear" w:color="auto" w:fill="auto"/>
            <w:noWrap/>
            <w:vAlign w:val="bottom"/>
            <w:hideMark/>
          </w:tcPr>
          <w:p w14:paraId="10760ED5"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126</w:t>
            </w:r>
          </w:p>
        </w:tc>
        <w:tc>
          <w:tcPr>
            <w:tcW w:w="1440" w:type="dxa"/>
            <w:tcBorders>
              <w:top w:val="nil"/>
              <w:left w:val="nil"/>
              <w:bottom w:val="single" w:sz="4" w:space="0" w:color="auto"/>
              <w:right w:val="single" w:sz="4" w:space="0" w:color="auto"/>
            </w:tcBorders>
            <w:shd w:val="clear" w:color="auto" w:fill="auto"/>
            <w:noWrap/>
            <w:vAlign w:val="bottom"/>
            <w:hideMark/>
          </w:tcPr>
          <w:p w14:paraId="1C23B6BB"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7.05</w:t>
            </w:r>
          </w:p>
        </w:tc>
      </w:tr>
      <w:tr w:rsidR="00C7187D" w:rsidRPr="008B39E1" w14:paraId="3D11C06A"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45A89317" w14:textId="77777777"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Chemicals and Allied Products</w:t>
            </w:r>
          </w:p>
        </w:tc>
        <w:tc>
          <w:tcPr>
            <w:tcW w:w="1530" w:type="dxa"/>
            <w:tcBorders>
              <w:top w:val="nil"/>
              <w:left w:val="nil"/>
              <w:bottom w:val="single" w:sz="4" w:space="0" w:color="auto"/>
              <w:right w:val="single" w:sz="4" w:space="0" w:color="auto"/>
            </w:tcBorders>
            <w:shd w:val="clear" w:color="auto" w:fill="auto"/>
            <w:noWrap/>
            <w:vAlign w:val="bottom"/>
            <w:hideMark/>
          </w:tcPr>
          <w:p w14:paraId="6F1FB0F2"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50</w:t>
            </w:r>
          </w:p>
        </w:tc>
        <w:tc>
          <w:tcPr>
            <w:tcW w:w="1440" w:type="dxa"/>
            <w:tcBorders>
              <w:top w:val="nil"/>
              <w:left w:val="nil"/>
              <w:bottom w:val="single" w:sz="4" w:space="0" w:color="auto"/>
              <w:right w:val="single" w:sz="4" w:space="0" w:color="auto"/>
            </w:tcBorders>
            <w:shd w:val="clear" w:color="auto" w:fill="auto"/>
            <w:noWrap/>
            <w:vAlign w:val="bottom"/>
            <w:hideMark/>
          </w:tcPr>
          <w:p w14:paraId="2DD41AB8"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2.8</w:t>
            </w:r>
          </w:p>
        </w:tc>
      </w:tr>
      <w:tr w:rsidR="00C7187D" w:rsidRPr="008B39E1" w14:paraId="4C12835E"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6D0F657E" w14:textId="6DFCE4AA"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Business Equipment </w:t>
            </w:r>
          </w:p>
        </w:tc>
        <w:tc>
          <w:tcPr>
            <w:tcW w:w="1530" w:type="dxa"/>
            <w:tcBorders>
              <w:top w:val="nil"/>
              <w:left w:val="nil"/>
              <w:bottom w:val="single" w:sz="4" w:space="0" w:color="auto"/>
              <w:right w:val="single" w:sz="4" w:space="0" w:color="auto"/>
            </w:tcBorders>
            <w:shd w:val="clear" w:color="auto" w:fill="auto"/>
            <w:noWrap/>
            <w:vAlign w:val="bottom"/>
            <w:hideMark/>
          </w:tcPr>
          <w:p w14:paraId="02B57B74"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382</w:t>
            </w:r>
          </w:p>
        </w:tc>
        <w:tc>
          <w:tcPr>
            <w:tcW w:w="1440" w:type="dxa"/>
            <w:tcBorders>
              <w:top w:val="nil"/>
              <w:left w:val="nil"/>
              <w:bottom w:val="single" w:sz="4" w:space="0" w:color="auto"/>
              <w:right w:val="single" w:sz="4" w:space="0" w:color="auto"/>
            </w:tcBorders>
            <w:shd w:val="clear" w:color="auto" w:fill="auto"/>
            <w:noWrap/>
            <w:vAlign w:val="bottom"/>
            <w:hideMark/>
          </w:tcPr>
          <w:p w14:paraId="074DBB2E"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21.36</w:t>
            </w:r>
          </w:p>
        </w:tc>
      </w:tr>
      <w:tr w:rsidR="00C7187D" w:rsidRPr="008B39E1" w14:paraId="56913173"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7D468BB2" w14:textId="77777777"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Telephone and Television Transmission</w:t>
            </w:r>
          </w:p>
        </w:tc>
        <w:tc>
          <w:tcPr>
            <w:tcW w:w="1530" w:type="dxa"/>
            <w:tcBorders>
              <w:top w:val="nil"/>
              <w:left w:val="nil"/>
              <w:bottom w:val="single" w:sz="4" w:space="0" w:color="auto"/>
              <w:right w:val="single" w:sz="4" w:space="0" w:color="auto"/>
            </w:tcBorders>
            <w:shd w:val="clear" w:color="auto" w:fill="auto"/>
            <w:noWrap/>
            <w:vAlign w:val="bottom"/>
            <w:hideMark/>
          </w:tcPr>
          <w:p w14:paraId="166A256D"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72</w:t>
            </w:r>
          </w:p>
        </w:tc>
        <w:tc>
          <w:tcPr>
            <w:tcW w:w="1440" w:type="dxa"/>
            <w:tcBorders>
              <w:top w:val="nil"/>
              <w:left w:val="nil"/>
              <w:bottom w:val="single" w:sz="4" w:space="0" w:color="auto"/>
              <w:right w:val="single" w:sz="4" w:space="0" w:color="auto"/>
            </w:tcBorders>
            <w:shd w:val="clear" w:color="auto" w:fill="auto"/>
            <w:noWrap/>
            <w:vAlign w:val="bottom"/>
            <w:hideMark/>
          </w:tcPr>
          <w:p w14:paraId="012A8085"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4.03</w:t>
            </w:r>
          </w:p>
        </w:tc>
      </w:tr>
      <w:tr w:rsidR="00C7187D" w:rsidRPr="008B39E1" w14:paraId="29AEAFD2"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1B22FF64" w14:textId="47614985"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Wholesale, Retail, and Some Services </w:t>
            </w:r>
          </w:p>
        </w:tc>
        <w:tc>
          <w:tcPr>
            <w:tcW w:w="1530" w:type="dxa"/>
            <w:tcBorders>
              <w:top w:val="nil"/>
              <w:left w:val="nil"/>
              <w:bottom w:val="single" w:sz="4" w:space="0" w:color="auto"/>
              <w:right w:val="single" w:sz="4" w:space="0" w:color="auto"/>
            </w:tcBorders>
            <w:shd w:val="clear" w:color="auto" w:fill="auto"/>
            <w:noWrap/>
            <w:vAlign w:val="bottom"/>
            <w:hideMark/>
          </w:tcPr>
          <w:p w14:paraId="28AC72E0"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114</w:t>
            </w:r>
          </w:p>
        </w:tc>
        <w:tc>
          <w:tcPr>
            <w:tcW w:w="1440" w:type="dxa"/>
            <w:tcBorders>
              <w:top w:val="nil"/>
              <w:left w:val="nil"/>
              <w:bottom w:val="single" w:sz="4" w:space="0" w:color="auto"/>
              <w:right w:val="single" w:sz="4" w:space="0" w:color="auto"/>
            </w:tcBorders>
            <w:shd w:val="clear" w:color="auto" w:fill="auto"/>
            <w:noWrap/>
            <w:vAlign w:val="bottom"/>
            <w:hideMark/>
          </w:tcPr>
          <w:p w14:paraId="7ABFC327"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6.38</w:t>
            </w:r>
          </w:p>
        </w:tc>
      </w:tr>
      <w:tr w:rsidR="00C7187D" w:rsidRPr="008B39E1" w14:paraId="1EF210AD"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2D9BE07C" w14:textId="77777777"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Healthcare, Medical Equipment, and Drug</w:t>
            </w:r>
          </w:p>
        </w:tc>
        <w:tc>
          <w:tcPr>
            <w:tcW w:w="1530" w:type="dxa"/>
            <w:tcBorders>
              <w:top w:val="nil"/>
              <w:left w:val="nil"/>
              <w:bottom w:val="single" w:sz="4" w:space="0" w:color="auto"/>
              <w:right w:val="single" w:sz="4" w:space="0" w:color="auto"/>
            </w:tcBorders>
            <w:shd w:val="clear" w:color="auto" w:fill="auto"/>
            <w:noWrap/>
            <w:vAlign w:val="bottom"/>
            <w:hideMark/>
          </w:tcPr>
          <w:p w14:paraId="4FFFBCAD"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380</w:t>
            </w:r>
          </w:p>
        </w:tc>
        <w:tc>
          <w:tcPr>
            <w:tcW w:w="1440" w:type="dxa"/>
            <w:tcBorders>
              <w:top w:val="nil"/>
              <w:left w:val="nil"/>
              <w:bottom w:val="single" w:sz="4" w:space="0" w:color="auto"/>
              <w:right w:val="single" w:sz="4" w:space="0" w:color="auto"/>
            </w:tcBorders>
            <w:shd w:val="clear" w:color="auto" w:fill="auto"/>
            <w:noWrap/>
            <w:vAlign w:val="bottom"/>
            <w:hideMark/>
          </w:tcPr>
          <w:p w14:paraId="20F62B91"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21.25</w:t>
            </w:r>
          </w:p>
        </w:tc>
      </w:tr>
      <w:tr w:rsidR="00C7187D" w:rsidRPr="008B39E1" w14:paraId="5F2346E1"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47767CC3" w14:textId="46F4375B"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Other </w:t>
            </w:r>
          </w:p>
        </w:tc>
        <w:tc>
          <w:tcPr>
            <w:tcW w:w="1530" w:type="dxa"/>
            <w:tcBorders>
              <w:top w:val="nil"/>
              <w:left w:val="nil"/>
              <w:bottom w:val="single" w:sz="4" w:space="0" w:color="auto"/>
              <w:right w:val="single" w:sz="4" w:space="0" w:color="auto"/>
            </w:tcBorders>
            <w:shd w:val="clear" w:color="auto" w:fill="auto"/>
            <w:noWrap/>
            <w:vAlign w:val="bottom"/>
            <w:hideMark/>
          </w:tcPr>
          <w:p w14:paraId="279D1C5C"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358</w:t>
            </w:r>
          </w:p>
        </w:tc>
        <w:tc>
          <w:tcPr>
            <w:tcW w:w="1440" w:type="dxa"/>
            <w:tcBorders>
              <w:top w:val="nil"/>
              <w:left w:val="nil"/>
              <w:bottom w:val="single" w:sz="4" w:space="0" w:color="auto"/>
              <w:right w:val="single" w:sz="4" w:space="0" w:color="auto"/>
            </w:tcBorders>
            <w:shd w:val="clear" w:color="auto" w:fill="auto"/>
            <w:noWrap/>
            <w:vAlign w:val="bottom"/>
            <w:hideMark/>
          </w:tcPr>
          <w:p w14:paraId="5155AEE4"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20.02</w:t>
            </w:r>
          </w:p>
        </w:tc>
      </w:tr>
      <w:tr w:rsidR="00C7187D" w:rsidRPr="008B39E1" w14:paraId="63FB2273"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67630EB6" w14:textId="77777777" w:rsidR="00C7187D" w:rsidRPr="008B39E1" w:rsidRDefault="00C7187D"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Total</w:t>
            </w:r>
          </w:p>
        </w:tc>
        <w:tc>
          <w:tcPr>
            <w:tcW w:w="1530" w:type="dxa"/>
            <w:tcBorders>
              <w:top w:val="nil"/>
              <w:left w:val="nil"/>
              <w:bottom w:val="single" w:sz="4" w:space="0" w:color="auto"/>
              <w:right w:val="single" w:sz="4" w:space="0" w:color="auto"/>
            </w:tcBorders>
            <w:shd w:val="clear" w:color="auto" w:fill="auto"/>
            <w:noWrap/>
            <w:vAlign w:val="bottom"/>
            <w:hideMark/>
          </w:tcPr>
          <w:p w14:paraId="5E384850" w14:textId="77777777" w:rsidR="00C7187D" w:rsidRPr="008B39E1" w:rsidRDefault="00C7187D"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1,788</w:t>
            </w:r>
          </w:p>
        </w:tc>
        <w:tc>
          <w:tcPr>
            <w:tcW w:w="1440" w:type="dxa"/>
            <w:tcBorders>
              <w:top w:val="nil"/>
              <w:left w:val="nil"/>
              <w:bottom w:val="single" w:sz="4" w:space="0" w:color="auto"/>
              <w:right w:val="single" w:sz="4" w:space="0" w:color="auto"/>
            </w:tcBorders>
            <w:shd w:val="clear" w:color="auto" w:fill="auto"/>
            <w:noWrap/>
            <w:vAlign w:val="bottom"/>
            <w:hideMark/>
          </w:tcPr>
          <w:p w14:paraId="303B09FE" w14:textId="77777777" w:rsidR="00C7187D" w:rsidRPr="008B39E1" w:rsidRDefault="00C7187D"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100</w:t>
            </w:r>
          </w:p>
        </w:tc>
      </w:tr>
    </w:tbl>
    <w:p w14:paraId="4B5AD0B9" w14:textId="77777777" w:rsidR="00BE4095" w:rsidRPr="008B39E1" w:rsidRDefault="00BE4095" w:rsidP="000F0F5A">
      <w:pPr>
        <w:spacing w:after="0" w:line="240" w:lineRule="auto"/>
        <w:rPr>
          <w:rFonts w:ascii="Times New Roman" w:hAnsi="Times New Roman" w:cs="Times New Roman"/>
          <w:sz w:val="24"/>
          <w:szCs w:val="24"/>
        </w:rPr>
      </w:pPr>
    </w:p>
    <w:tbl>
      <w:tblPr>
        <w:tblW w:w="8370" w:type="dxa"/>
        <w:tblLook w:val="04A0" w:firstRow="1" w:lastRow="0" w:firstColumn="1" w:lastColumn="0" w:noHBand="0" w:noVBand="1"/>
      </w:tblPr>
      <w:tblGrid>
        <w:gridCol w:w="5400"/>
        <w:gridCol w:w="1530"/>
        <w:gridCol w:w="1440"/>
      </w:tblGrid>
      <w:tr w:rsidR="00DB502B" w:rsidRPr="008B39E1" w14:paraId="754B98C0" w14:textId="77777777" w:rsidTr="00A22412">
        <w:trPr>
          <w:trHeight w:val="315"/>
        </w:trPr>
        <w:tc>
          <w:tcPr>
            <w:tcW w:w="837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E74E395" w14:textId="3C72944C" w:rsidR="00DB502B" w:rsidRPr="008B39E1" w:rsidRDefault="00656023" w:rsidP="000F0F5A">
            <w:pPr>
              <w:spacing w:after="0" w:line="240" w:lineRule="auto"/>
              <w:rPr>
                <w:rFonts w:ascii="Times New Roman" w:eastAsia="Times New Roman" w:hAnsi="Times New Roman" w:cs="Times New Roman"/>
                <w:sz w:val="20"/>
                <w:szCs w:val="20"/>
              </w:rPr>
            </w:pPr>
            <w:r w:rsidRPr="008B39E1">
              <w:rPr>
                <w:rFonts w:ascii="Times New Roman" w:eastAsia="Times New Roman" w:hAnsi="Times New Roman" w:cs="Times New Roman"/>
                <w:color w:val="000000"/>
                <w:sz w:val="24"/>
                <w:szCs w:val="24"/>
              </w:rPr>
              <w:t>Control Sample</w:t>
            </w:r>
          </w:p>
        </w:tc>
      </w:tr>
      <w:tr w:rsidR="00DB502B" w:rsidRPr="008B39E1" w14:paraId="6355EDDB" w14:textId="77777777" w:rsidTr="00A22412">
        <w:trPr>
          <w:trHeight w:val="315"/>
        </w:trPr>
        <w:tc>
          <w:tcPr>
            <w:tcW w:w="5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004D8" w14:textId="038AFD98" w:rsidR="00DB502B" w:rsidRPr="008B39E1" w:rsidRDefault="001930F0" w:rsidP="000F0F5A">
            <w:pPr>
              <w:spacing w:after="0" w:line="240" w:lineRule="auto"/>
              <w:rPr>
                <w:rFonts w:ascii="Times New Roman" w:eastAsia="Times New Roman" w:hAnsi="Times New Roman" w:cs="Times New Roman"/>
                <w:color w:val="000000"/>
                <w:sz w:val="24"/>
                <w:szCs w:val="24"/>
              </w:rPr>
            </w:pPr>
            <w:proofErr w:type="spellStart"/>
            <w:r w:rsidRPr="008B39E1">
              <w:rPr>
                <w:rFonts w:ascii="Times New Roman" w:eastAsia="Times New Roman" w:hAnsi="Times New Roman" w:cs="Times New Roman"/>
                <w:color w:val="000000"/>
                <w:sz w:val="24"/>
                <w:szCs w:val="24"/>
              </w:rPr>
              <w:t>Industry</w:t>
            </w:r>
            <w:r w:rsidRPr="008B39E1">
              <w:rPr>
                <w:rFonts w:ascii="Times New Roman" w:eastAsia="Times New Roman" w:hAnsi="Times New Roman" w:cs="Times New Roman"/>
                <w:color w:val="000000"/>
                <w:sz w:val="24"/>
                <w:szCs w:val="24"/>
                <w:vertAlign w:val="superscript"/>
              </w:rPr>
              <w:t>a</w:t>
            </w:r>
            <w:proofErr w:type="spellEnd"/>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D36BF7C" w14:textId="6269BCD6" w:rsidR="00DB502B" w:rsidRPr="008B39E1" w:rsidRDefault="001930F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N</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385D0357" w14:textId="77777777"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Percent</w:t>
            </w:r>
          </w:p>
        </w:tc>
      </w:tr>
      <w:tr w:rsidR="00DB502B" w:rsidRPr="008B39E1" w14:paraId="2EFF2DA6"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7292CECF" w14:textId="77777777" w:rsidR="00DB502B"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Consumer Nondurables </w:t>
            </w:r>
          </w:p>
        </w:tc>
        <w:tc>
          <w:tcPr>
            <w:tcW w:w="1530" w:type="dxa"/>
            <w:tcBorders>
              <w:top w:val="nil"/>
              <w:left w:val="nil"/>
              <w:bottom w:val="single" w:sz="4" w:space="0" w:color="auto"/>
              <w:right w:val="single" w:sz="4" w:space="0" w:color="auto"/>
            </w:tcBorders>
            <w:shd w:val="clear" w:color="auto" w:fill="auto"/>
            <w:noWrap/>
            <w:vAlign w:val="bottom"/>
            <w:hideMark/>
          </w:tcPr>
          <w:p w14:paraId="0514DCC1" w14:textId="4A0647B6"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76</w:t>
            </w:r>
          </w:p>
        </w:tc>
        <w:tc>
          <w:tcPr>
            <w:tcW w:w="1440" w:type="dxa"/>
            <w:tcBorders>
              <w:top w:val="nil"/>
              <w:left w:val="nil"/>
              <w:bottom w:val="single" w:sz="4" w:space="0" w:color="auto"/>
              <w:right w:val="single" w:sz="4" w:space="0" w:color="auto"/>
            </w:tcBorders>
            <w:shd w:val="clear" w:color="auto" w:fill="auto"/>
            <w:noWrap/>
            <w:vAlign w:val="bottom"/>
            <w:hideMark/>
          </w:tcPr>
          <w:p w14:paraId="0C658DD7" w14:textId="282A8581"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4.25</w:t>
            </w:r>
          </w:p>
        </w:tc>
      </w:tr>
      <w:tr w:rsidR="00DB502B" w:rsidRPr="008B39E1" w14:paraId="1D7EEB11"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0E870A28" w14:textId="77777777" w:rsidR="00DB502B"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Consumer Durables</w:t>
            </w:r>
          </w:p>
        </w:tc>
        <w:tc>
          <w:tcPr>
            <w:tcW w:w="1530" w:type="dxa"/>
            <w:tcBorders>
              <w:top w:val="nil"/>
              <w:left w:val="nil"/>
              <w:bottom w:val="single" w:sz="4" w:space="0" w:color="auto"/>
              <w:right w:val="single" w:sz="4" w:space="0" w:color="auto"/>
            </w:tcBorders>
            <w:shd w:val="clear" w:color="auto" w:fill="auto"/>
            <w:noWrap/>
            <w:vAlign w:val="bottom"/>
            <w:hideMark/>
          </w:tcPr>
          <w:p w14:paraId="6D9D53A1" w14:textId="637F823C"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50</w:t>
            </w:r>
          </w:p>
        </w:tc>
        <w:tc>
          <w:tcPr>
            <w:tcW w:w="1440" w:type="dxa"/>
            <w:tcBorders>
              <w:top w:val="nil"/>
              <w:left w:val="nil"/>
              <w:bottom w:val="single" w:sz="4" w:space="0" w:color="auto"/>
              <w:right w:val="single" w:sz="4" w:space="0" w:color="auto"/>
            </w:tcBorders>
            <w:shd w:val="clear" w:color="auto" w:fill="auto"/>
            <w:noWrap/>
            <w:vAlign w:val="bottom"/>
            <w:hideMark/>
          </w:tcPr>
          <w:p w14:paraId="479E430B" w14:textId="745F917C"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2.8</w:t>
            </w:r>
          </w:p>
        </w:tc>
      </w:tr>
      <w:tr w:rsidR="00DB502B" w:rsidRPr="008B39E1" w14:paraId="10B4F30A"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290CBE7F" w14:textId="77777777" w:rsidR="00DB502B"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Manufacturing </w:t>
            </w:r>
          </w:p>
        </w:tc>
        <w:tc>
          <w:tcPr>
            <w:tcW w:w="1530" w:type="dxa"/>
            <w:tcBorders>
              <w:top w:val="nil"/>
              <w:left w:val="nil"/>
              <w:bottom w:val="single" w:sz="4" w:space="0" w:color="auto"/>
              <w:right w:val="single" w:sz="4" w:space="0" w:color="auto"/>
            </w:tcBorders>
            <w:shd w:val="clear" w:color="auto" w:fill="auto"/>
            <w:noWrap/>
            <w:vAlign w:val="bottom"/>
            <w:hideMark/>
          </w:tcPr>
          <w:p w14:paraId="68F4E760" w14:textId="402295D3"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198</w:t>
            </w:r>
          </w:p>
        </w:tc>
        <w:tc>
          <w:tcPr>
            <w:tcW w:w="1440" w:type="dxa"/>
            <w:tcBorders>
              <w:top w:val="nil"/>
              <w:left w:val="nil"/>
              <w:bottom w:val="single" w:sz="4" w:space="0" w:color="auto"/>
              <w:right w:val="single" w:sz="4" w:space="0" w:color="auto"/>
            </w:tcBorders>
            <w:shd w:val="clear" w:color="auto" w:fill="auto"/>
            <w:noWrap/>
            <w:vAlign w:val="bottom"/>
            <w:hideMark/>
          </w:tcPr>
          <w:p w14:paraId="165D3488" w14:textId="21D4ED3C"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11.07</w:t>
            </w:r>
          </w:p>
        </w:tc>
      </w:tr>
      <w:tr w:rsidR="00DB502B" w:rsidRPr="008B39E1" w14:paraId="4C74CE6C"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08DC91DD" w14:textId="77777777" w:rsidR="00DB502B"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Oil, Gas, and Coal Extraction and Products</w:t>
            </w:r>
          </w:p>
        </w:tc>
        <w:tc>
          <w:tcPr>
            <w:tcW w:w="1530" w:type="dxa"/>
            <w:tcBorders>
              <w:top w:val="nil"/>
              <w:left w:val="nil"/>
              <w:bottom w:val="single" w:sz="4" w:space="0" w:color="auto"/>
              <w:right w:val="single" w:sz="4" w:space="0" w:color="auto"/>
            </w:tcBorders>
            <w:shd w:val="clear" w:color="auto" w:fill="auto"/>
            <w:noWrap/>
            <w:vAlign w:val="bottom"/>
            <w:hideMark/>
          </w:tcPr>
          <w:p w14:paraId="10D48CDA" w14:textId="402F138F"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126</w:t>
            </w:r>
          </w:p>
        </w:tc>
        <w:tc>
          <w:tcPr>
            <w:tcW w:w="1440" w:type="dxa"/>
            <w:tcBorders>
              <w:top w:val="nil"/>
              <w:left w:val="nil"/>
              <w:bottom w:val="single" w:sz="4" w:space="0" w:color="auto"/>
              <w:right w:val="single" w:sz="4" w:space="0" w:color="auto"/>
            </w:tcBorders>
            <w:shd w:val="clear" w:color="auto" w:fill="auto"/>
            <w:noWrap/>
            <w:vAlign w:val="bottom"/>
            <w:hideMark/>
          </w:tcPr>
          <w:p w14:paraId="452C3833" w14:textId="6050F694"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7.05</w:t>
            </w:r>
          </w:p>
        </w:tc>
      </w:tr>
      <w:tr w:rsidR="00DB502B" w:rsidRPr="008B39E1" w14:paraId="1A1DF654"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381FF388" w14:textId="77777777" w:rsidR="00DB502B"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Chemicals and Allied Products</w:t>
            </w:r>
          </w:p>
        </w:tc>
        <w:tc>
          <w:tcPr>
            <w:tcW w:w="1530" w:type="dxa"/>
            <w:tcBorders>
              <w:top w:val="nil"/>
              <w:left w:val="nil"/>
              <w:bottom w:val="single" w:sz="4" w:space="0" w:color="auto"/>
              <w:right w:val="single" w:sz="4" w:space="0" w:color="auto"/>
            </w:tcBorders>
            <w:shd w:val="clear" w:color="auto" w:fill="auto"/>
            <w:noWrap/>
            <w:vAlign w:val="bottom"/>
            <w:hideMark/>
          </w:tcPr>
          <w:p w14:paraId="3CCE6A45" w14:textId="1A0DF1DC"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42</w:t>
            </w:r>
          </w:p>
        </w:tc>
        <w:tc>
          <w:tcPr>
            <w:tcW w:w="1440" w:type="dxa"/>
            <w:tcBorders>
              <w:top w:val="nil"/>
              <w:left w:val="nil"/>
              <w:bottom w:val="single" w:sz="4" w:space="0" w:color="auto"/>
              <w:right w:val="single" w:sz="4" w:space="0" w:color="auto"/>
            </w:tcBorders>
            <w:shd w:val="clear" w:color="auto" w:fill="auto"/>
            <w:noWrap/>
            <w:vAlign w:val="bottom"/>
            <w:hideMark/>
          </w:tcPr>
          <w:p w14:paraId="55CFA5F1" w14:textId="55444110"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2.35</w:t>
            </w:r>
          </w:p>
        </w:tc>
      </w:tr>
      <w:tr w:rsidR="00DB502B" w:rsidRPr="008B39E1" w14:paraId="6A9BBEF8"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0A7FBDF3" w14:textId="77777777" w:rsidR="00DB502B"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Business Equipment </w:t>
            </w:r>
          </w:p>
        </w:tc>
        <w:tc>
          <w:tcPr>
            <w:tcW w:w="1530" w:type="dxa"/>
            <w:tcBorders>
              <w:top w:val="nil"/>
              <w:left w:val="nil"/>
              <w:bottom w:val="single" w:sz="4" w:space="0" w:color="auto"/>
              <w:right w:val="single" w:sz="4" w:space="0" w:color="auto"/>
            </w:tcBorders>
            <w:shd w:val="clear" w:color="auto" w:fill="auto"/>
            <w:noWrap/>
            <w:vAlign w:val="bottom"/>
            <w:hideMark/>
          </w:tcPr>
          <w:p w14:paraId="61A6C70D" w14:textId="0CDC5375"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466</w:t>
            </w:r>
          </w:p>
        </w:tc>
        <w:tc>
          <w:tcPr>
            <w:tcW w:w="1440" w:type="dxa"/>
            <w:tcBorders>
              <w:top w:val="nil"/>
              <w:left w:val="nil"/>
              <w:bottom w:val="single" w:sz="4" w:space="0" w:color="auto"/>
              <w:right w:val="single" w:sz="4" w:space="0" w:color="auto"/>
            </w:tcBorders>
            <w:shd w:val="clear" w:color="auto" w:fill="auto"/>
            <w:noWrap/>
            <w:vAlign w:val="bottom"/>
            <w:hideMark/>
          </w:tcPr>
          <w:p w14:paraId="562F2B44" w14:textId="23676F82"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26.06</w:t>
            </w:r>
          </w:p>
        </w:tc>
      </w:tr>
      <w:tr w:rsidR="00DB502B" w:rsidRPr="008B39E1" w14:paraId="31342195"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73FA262E" w14:textId="77777777" w:rsidR="00DB502B"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Telephone and Television Transmission</w:t>
            </w:r>
          </w:p>
        </w:tc>
        <w:tc>
          <w:tcPr>
            <w:tcW w:w="1530" w:type="dxa"/>
            <w:tcBorders>
              <w:top w:val="nil"/>
              <w:left w:val="nil"/>
              <w:bottom w:val="single" w:sz="4" w:space="0" w:color="auto"/>
              <w:right w:val="single" w:sz="4" w:space="0" w:color="auto"/>
            </w:tcBorders>
            <w:shd w:val="clear" w:color="auto" w:fill="auto"/>
            <w:noWrap/>
            <w:vAlign w:val="bottom"/>
            <w:hideMark/>
          </w:tcPr>
          <w:p w14:paraId="5E9796BD" w14:textId="3C3969FD"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72</w:t>
            </w:r>
          </w:p>
        </w:tc>
        <w:tc>
          <w:tcPr>
            <w:tcW w:w="1440" w:type="dxa"/>
            <w:tcBorders>
              <w:top w:val="nil"/>
              <w:left w:val="nil"/>
              <w:bottom w:val="single" w:sz="4" w:space="0" w:color="auto"/>
              <w:right w:val="single" w:sz="4" w:space="0" w:color="auto"/>
            </w:tcBorders>
            <w:shd w:val="clear" w:color="auto" w:fill="auto"/>
            <w:noWrap/>
            <w:vAlign w:val="bottom"/>
            <w:hideMark/>
          </w:tcPr>
          <w:p w14:paraId="787EBD61" w14:textId="04D7C573"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4.03</w:t>
            </w:r>
          </w:p>
        </w:tc>
      </w:tr>
      <w:tr w:rsidR="00DB502B" w:rsidRPr="008B39E1" w14:paraId="1E184A69"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37F927F9" w14:textId="77777777" w:rsidR="00DB502B"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Wholesale, Retail, and Some Services </w:t>
            </w:r>
          </w:p>
        </w:tc>
        <w:tc>
          <w:tcPr>
            <w:tcW w:w="1530" w:type="dxa"/>
            <w:tcBorders>
              <w:top w:val="nil"/>
              <w:left w:val="nil"/>
              <w:bottom w:val="single" w:sz="4" w:space="0" w:color="auto"/>
              <w:right w:val="single" w:sz="4" w:space="0" w:color="auto"/>
            </w:tcBorders>
            <w:shd w:val="clear" w:color="auto" w:fill="auto"/>
            <w:noWrap/>
            <w:vAlign w:val="bottom"/>
            <w:hideMark/>
          </w:tcPr>
          <w:p w14:paraId="6C7F42F0" w14:textId="78D2B73B"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114</w:t>
            </w:r>
          </w:p>
        </w:tc>
        <w:tc>
          <w:tcPr>
            <w:tcW w:w="1440" w:type="dxa"/>
            <w:tcBorders>
              <w:top w:val="nil"/>
              <w:left w:val="nil"/>
              <w:bottom w:val="single" w:sz="4" w:space="0" w:color="auto"/>
              <w:right w:val="single" w:sz="4" w:space="0" w:color="auto"/>
            </w:tcBorders>
            <w:shd w:val="clear" w:color="auto" w:fill="auto"/>
            <w:noWrap/>
            <w:vAlign w:val="bottom"/>
            <w:hideMark/>
          </w:tcPr>
          <w:p w14:paraId="6937D5F7" w14:textId="266B95E5"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6.38</w:t>
            </w:r>
          </w:p>
        </w:tc>
      </w:tr>
      <w:tr w:rsidR="00DB502B" w:rsidRPr="008B39E1" w14:paraId="55D10E58"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24EB6448" w14:textId="77777777" w:rsidR="00DB502B"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Healthcare, Medical Equipment, and Drug</w:t>
            </w:r>
          </w:p>
        </w:tc>
        <w:tc>
          <w:tcPr>
            <w:tcW w:w="1530" w:type="dxa"/>
            <w:tcBorders>
              <w:top w:val="nil"/>
              <w:left w:val="nil"/>
              <w:bottom w:val="single" w:sz="4" w:space="0" w:color="auto"/>
              <w:right w:val="single" w:sz="4" w:space="0" w:color="auto"/>
            </w:tcBorders>
            <w:shd w:val="clear" w:color="auto" w:fill="auto"/>
            <w:noWrap/>
            <w:vAlign w:val="bottom"/>
            <w:hideMark/>
          </w:tcPr>
          <w:p w14:paraId="7572D23A" w14:textId="3D8A4666"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372</w:t>
            </w:r>
          </w:p>
        </w:tc>
        <w:tc>
          <w:tcPr>
            <w:tcW w:w="1440" w:type="dxa"/>
            <w:tcBorders>
              <w:top w:val="nil"/>
              <w:left w:val="nil"/>
              <w:bottom w:val="single" w:sz="4" w:space="0" w:color="auto"/>
              <w:right w:val="single" w:sz="4" w:space="0" w:color="auto"/>
            </w:tcBorders>
            <w:shd w:val="clear" w:color="auto" w:fill="auto"/>
            <w:noWrap/>
            <w:vAlign w:val="bottom"/>
            <w:hideMark/>
          </w:tcPr>
          <w:p w14:paraId="50F8047D" w14:textId="41ACDEA2"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20.81</w:t>
            </w:r>
          </w:p>
        </w:tc>
      </w:tr>
      <w:tr w:rsidR="00DB502B" w:rsidRPr="008B39E1" w14:paraId="556ED10A"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50202521" w14:textId="77777777" w:rsidR="00DB502B"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 xml:space="preserve">Other </w:t>
            </w:r>
          </w:p>
        </w:tc>
        <w:tc>
          <w:tcPr>
            <w:tcW w:w="1530" w:type="dxa"/>
            <w:tcBorders>
              <w:top w:val="nil"/>
              <w:left w:val="nil"/>
              <w:bottom w:val="single" w:sz="4" w:space="0" w:color="auto"/>
              <w:right w:val="single" w:sz="4" w:space="0" w:color="auto"/>
            </w:tcBorders>
            <w:shd w:val="clear" w:color="auto" w:fill="auto"/>
            <w:noWrap/>
            <w:vAlign w:val="bottom"/>
            <w:hideMark/>
          </w:tcPr>
          <w:p w14:paraId="7C3D30B0" w14:textId="4BAB557E"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272</w:t>
            </w:r>
          </w:p>
        </w:tc>
        <w:tc>
          <w:tcPr>
            <w:tcW w:w="1440" w:type="dxa"/>
            <w:tcBorders>
              <w:top w:val="nil"/>
              <w:left w:val="nil"/>
              <w:bottom w:val="single" w:sz="4" w:space="0" w:color="auto"/>
              <w:right w:val="single" w:sz="4" w:space="0" w:color="auto"/>
            </w:tcBorders>
            <w:shd w:val="clear" w:color="auto" w:fill="auto"/>
            <w:noWrap/>
            <w:vAlign w:val="bottom"/>
            <w:hideMark/>
          </w:tcPr>
          <w:p w14:paraId="5281B7A3" w14:textId="7D01CCB9"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15.21</w:t>
            </w:r>
          </w:p>
        </w:tc>
      </w:tr>
      <w:tr w:rsidR="00DB502B" w:rsidRPr="008B39E1" w14:paraId="363C9FED" w14:textId="77777777" w:rsidTr="00A22412">
        <w:trPr>
          <w:trHeight w:val="315"/>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14:paraId="17564AE5" w14:textId="371ECB2A" w:rsidR="003E26FE" w:rsidRPr="008B39E1" w:rsidRDefault="00DB502B"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Total</w:t>
            </w:r>
          </w:p>
        </w:tc>
        <w:tc>
          <w:tcPr>
            <w:tcW w:w="1530" w:type="dxa"/>
            <w:tcBorders>
              <w:top w:val="nil"/>
              <w:left w:val="nil"/>
              <w:bottom w:val="single" w:sz="4" w:space="0" w:color="auto"/>
              <w:right w:val="single" w:sz="4" w:space="0" w:color="auto"/>
            </w:tcBorders>
            <w:shd w:val="clear" w:color="auto" w:fill="auto"/>
            <w:noWrap/>
            <w:vAlign w:val="bottom"/>
            <w:hideMark/>
          </w:tcPr>
          <w:p w14:paraId="6483F9FF" w14:textId="305D862C" w:rsidR="00DB502B" w:rsidRPr="008B39E1" w:rsidRDefault="00DB502B"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1,788</w:t>
            </w:r>
          </w:p>
        </w:tc>
        <w:tc>
          <w:tcPr>
            <w:tcW w:w="1440" w:type="dxa"/>
            <w:tcBorders>
              <w:top w:val="nil"/>
              <w:left w:val="nil"/>
              <w:bottom w:val="single" w:sz="4" w:space="0" w:color="auto"/>
              <w:right w:val="single" w:sz="4" w:space="0" w:color="auto"/>
            </w:tcBorders>
            <w:shd w:val="clear" w:color="auto" w:fill="auto"/>
            <w:noWrap/>
            <w:vAlign w:val="bottom"/>
            <w:hideMark/>
          </w:tcPr>
          <w:p w14:paraId="361A9E6E" w14:textId="5087740B" w:rsidR="00DB502B" w:rsidRPr="008B39E1" w:rsidRDefault="00DB502B" w:rsidP="000F0F5A">
            <w:pPr>
              <w:spacing w:after="0" w:line="240" w:lineRule="auto"/>
              <w:jc w:val="right"/>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100</w:t>
            </w:r>
          </w:p>
        </w:tc>
      </w:tr>
    </w:tbl>
    <w:p w14:paraId="5C04130D" w14:textId="2DF991BA" w:rsidR="003E26FE" w:rsidRPr="005A4834" w:rsidRDefault="003E26FE" w:rsidP="000F0F5A">
      <w:pPr>
        <w:spacing w:after="0" w:line="240" w:lineRule="auto"/>
        <w:rPr>
          <w:rFonts w:ascii="Times New Roman" w:hAnsi="Times New Roman" w:cs="Times New Roman"/>
          <w:b/>
          <w:bCs/>
          <w:sz w:val="20"/>
          <w:szCs w:val="20"/>
          <w:vertAlign w:val="superscript"/>
        </w:rPr>
      </w:pPr>
      <w:r w:rsidRPr="005A4834">
        <w:rPr>
          <w:rFonts w:ascii="Times New Roman" w:hAnsi="Times New Roman" w:cs="Times New Roman"/>
          <w:b/>
          <w:bCs/>
          <w:sz w:val="20"/>
          <w:szCs w:val="20"/>
        </w:rPr>
        <w:t xml:space="preserve"> </w:t>
      </w:r>
      <w:r w:rsidR="001930F0" w:rsidRPr="005A4834">
        <w:rPr>
          <w:rFonts w:ascii="Times New Roman" w:hAnsi="Times New Roman" w:cs="Times New Roman"/>
          <w:b/>
          <w:bCs/>
          <w:sz w:val="20"/>
          <w:szCs w:val="20"/>
          <w:vertAlign w:val="superscript"/>
        </w:rPr>
        <w:t xml:space="preserve">a </w:t>
      </w:r>
      <w:r w:rsidR="001930F0" w:rsidRPr="005A4834">
        <w:rPr>
          <w:rFonts w:ascii="Times New Roman" w:hAnsi="Times New Roman" w:cs="Times New Roman"/>
          <w:sz w:val="20"/>
          <w:szCs w:val="20"/>
        </w:rPr>
        <w:t>Fama-French 12 Industry groupings.</w:t>
      </w:r>
      <w:r w:rsidR="001930F0" w:rsidRPr="005A4834" w:rsidDel="003C639F">
        <w:rPr>
          <w:rFonts w:ascii="Times New Roman" w:hAnsi="Times New Roman" w:cs="Times New Roman"/>
          <w:sz w:val="20"/>
          <w:szCs w:val="20"/>
        </w:rPr>
        <w:t xml:space="preserve">  </w:t>
      </w:r>
    </w:p>
    <w:p w14:paraId="2DBA6888" w14:textId="77777777" w:rsidR="00B90AF9" w:rsidRPr="008B39E1" w:rsidRDefault="00B90AF9" w:rsidP="000F0F5A">
      <w:pPr>
        <w:spacing w:after="0" w:line="240" w:lineRule="auto"/>
        <w:jc w:val="right"/>
        <w:rPr>
          <w:rFonts w:ascii="Times New Roman" w:hAnsi="Times New Roman" w:cs="Times New Roman"/>
          <w:i/>
          <w:iCs/>
          <w:sz w:val="24"/>
          <w:szCs w:val="24"/>
        </w:rPr>
      </w:pPr>
      <w:r w:rsidRPr="008B39E1">
        <w:rPr>
          <w:rFonts w:ascii="Times New Roman" w:hAnsi="Times New Roman" w:cs="Times New Roman"/>
          <w:i/>
          <w:iCs/>
          <w:sz w:val="24"/>
          <w:szCs w:val="24"/>
        </w:rPr>
        <w:t>(Continued on next page)</w:t>
      </w:r>
    </w:p>
    <w:p w14:paraId="13D4085F" w14:textId="10A9AB35" w:rsidR="004B2604" w:rsidRPr="008B39E1" w:rsidRDefault="00576C11" w:rsidP="000F0F5A">
      <w:pPr>
        <w:spacing w:after="0" w:line="240" w:lineRule="auto"/>
        <w:rPr>
          <w:rFonts w:ascii="Times New Roman" w:hAnsi="Times New Roman" w:cs="Times New Roman"/>
          <w:i/>
          <w:iCs/>
          <w:sz w:val="24"/>
          <w:szCs w:val="24"/>
        </w:rPr>
      </w:pPr>
      <w:r w:rsidRPr="008B39E1">
        <w:rPr>
          <w:rFonts w:ascii="Times New Roman" w:hAnsi="Times New Roman" w:cs="Times New Roman"/>
          <w:b/>
          <w:bCs/>
          <w:sz w:val="24"/>
          <w:szCs w:val="24"/>
        </w:rPr>
        <w:br w:type="page"/>
      </w:r>
      <w:r w:rsidR="004B2604" w:rsidRPr="008B39E1">
        <w:rPr>
          <w:rFonts w:ascii="Times New Roman" w:hAnsi="Times New Roman" w:cs="Times New Roman"/>
          <w:i/>
          <w:iCs/>
          <w:sz w:val="24"/>
          <w:szCs w:val="24"/>
        </w:rPr>
        <w:lastRenderedPageBreak/>
        <w:t>(</w:t>
      </w:r>
      <w:r w:rsidR="00DC55B9" w:rsidRPr="008B39E1">
        <w:rPr>
          <w:rFonts w:ascii="Times New Roman" w:hAnsi="Times New Roman" w:cs="Times New Roman"/>
          <w:i/>
          <w:iCs/>
          <w:sz w:val="24"/>
          <w:szCs w:val="24"/>
        </w:rPr>
        <w:t>TABLE I</w:t>
      </w:r>
      <w:r w:rsidR="004B2604" w:rsidRPr="008B39E1">
        <w:rPr>
          <w:rFonts w:ascii="Times New Roman" w:hAnsi="Times New Roman" w:cs="Times New Roman"/>
          <w:i/>
          <w:iCs/>
          <w:sz w:val="24"/>
          <w:szCs w:val="24"/>
        </w:rPr>
        <w:t xml:space="preserve"> continued)</w:t>
      </w:r>
    </w:p>
    <w:p w14:paraId="79CB1A1F" w14:textId="77777777" w:rsidR="00B45264" w:rsidRPr="008B39E1" w:rsidRDefault="00B45264" w:rsidP="000F0F5A">
      <w:pPr>
        <w:spacing w:after="0" w:line="240" w:lineRule="auto"/>
        <w:rPr>
          <w:rFonts w:ascii="Times New Roman" w:hAnsi="Times New Roman" w:cs="Times New Roman"/>
          <w:b/>
          <w:bCs/>
          <w:sz w:val="24"/>
          <w:szCs w:val="24"/>
        </w:rPr>
      </w:pPr>
    </w:p>
    <w:p w14:paraId="3D5B7B63" w14:textId="33A5C6DF" w:rsidR="005F704A" w:rsidRPr="008B39E1" w:rsidRDefault="00EB242A"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Panel C: </w:t>
      </w:r>
      <w:r w:rsidR="00815FFF" w:rsidRPr="008B39E1">
        <w:rPr>
          <w:rFonts w:ascii="Times New Roman" w:hAnsi="Times New Roman" w:cs="Times New Roman"/>
          <w:b/>
          <w:bCs/>
          <w:sz w:val="24"/>
          <w:szCs w:val="24"/>
        </w:rPr>
        <w:t xml:space="preserve">Firm </w:t>
      </w:r>
      <w:proofErr w:type="spellStart"/>
      <w:r w:rsidR="00815FFF" w:rsidRPr="008B39E1">
        <w:rPr>
          <w:rFonts w:ascii="Times New Roman" w:hAnsi="Times New Roman" w:cs="Times New Roman"/>
          <w:b/>
          <w:bCs/>
          <w:sz w:val="24"/>
          <w:szCs w:val="24"/>
        </w:rPr>
        <w:t>size</w:t>
      </w:r>
      <w:r w:rsidR="00815FFF" w:rsidRPr="008B39E1">
        <w:rPr>
          <w:rFonts w:ascii="Times New Roman" w:hAnsi="Times New Roman" w:cs="Times New Roman"/>
          <w:b/>
          <w:bCs/>
          <w:sz w:val="24"/>
          <w:szCs w:val="24"/>
          <w:vertAlign w:val="superscript"/>
        </w:rPr>
        <w:t>a</w:t>
      </w:r>
      <w:proofErr w:type="spellEnd"/>
      <w:r w:rsidR="00815FFF" w:rsidRPr="008B39E1">
        <w:rPr>
          <w:rFonts w:ascii="Times New Roman" w:hAnsi="Times New Roman" w:cs="Times New Roman"/>
          <w:b/>
          <w:bCs/>
          <w:sz w:val="24"/>
          <w:szCs w:val="24"/>
        </w:rPr>
        <w:t xml:space="preserve"> comparison between </w:t>
      </w:r>
      <w:r w:rsidR="00CF4198" w:rsidRPr="008B39E1">
        <w:rPr>
          <w:rFonts w:ascii="Times New Roman" w:hAnsi="Times New Roman" w:cs="Times New Roman"/>
          <w:b/>
          <w:bCs/>
          <w:sz w:val="24"/>
          <w:szCs w:val="24"/>
        </w:rPr>
        <w:t>RELOCATE</w:t>
      </w:r>
      <w:r w:rsidR="001930F0" w:rsidRPr="008B39E1">
        <w:rPr>
          <w:rFonts w:ascii="Times New Roman" w:hAnsi="Times New Roman" w:cs="Times New Roman"/>
          <w:b/>
          <w:bCs/>
          <w:sz w:val="24"/>
          <w:szCs w:val="24"/>
        </w:rPr>
        <w:t xml:space="preserve"> </w:t>
      </w:r>
      <w:r w:rsidR="005F704A" w:rsidRPr="008B39E1">
        <w:rPr>
          <w:rFonts w:ascii="Times New Roman" w:hAnsi="Times New Roman" w:cs="Times New Roman"/>
          <w:b/>
          <w:bCs/>
          <w:sz w:val="24"/>
          <w:szCs w:val="24"/>
        </w:rPr>
        <w:t xml:space="preserve">and </w:t>
      </w:r>
      <w:r w:rsidR="005945E2" w:rsidRPr="008B39E1">
        <w:rPr>
          <w:rFonts w:ascii="Times New Roman" w:hAnsi="Times New Roman" w:cs="Times New Roman"/>
          <w:b/>
          <w:bCs/>
          <w:sz w:val="24"/>
          <w:szCs w:val="24"/>
        </w:rPr>
        <w:t xml:space="preserve">Non-relocate </w:t>
      </w:r>
      <w:r w:rsidR="005F704A" w:rsidRPr="008B39E1">
        <w:rPr>
          <w:rFonts w:ascii="Times New Roman" w:hAnsi="Times New Roman" w:cs="Times New Roman"/>
          <w:b/>
          <w:bCs/>
          <w:sz w:val="24"/>
          <w:szCs w:val="24"/>
        </w:rPr>
        <w:t xml:space="preserve">Samples </w:t>
      </w:r>
    </w:p>
    <w:tbl>
      <w:tblPr>
        <w:tblW w:w="5000" w:type="pct"/>
        <w:tblLook w:val="04A0" w:firstRow="1" w:lastRow="0" w:firstColumn="1" w:lastColumn="0" w:noHBand="0" w:noVBand="1"/>
      </w:tblPr>
      <w:tblGrid>
        <w:gridCol w:w="1901"/>
        <w:gridCol w:w="909"/>
        <w:gridCol w:w="1131"/>
        <w:gridCol w:w="1193"/>
        <w:gridCol w:w="1204"/>
        <w:gridCol w:w="1004"/>
        <w:gridCol w:w="1004"/>
        <w:gridCol w:w="1004"/>
      </w:tblGrid>
      <w:tr w:rsidR="00921A78" w:rsidRPr="008B39E1" w14:paraId="709E32A4" w14:textId="77777777" w:rsidTr="00921A78">
        <w:trPr>
          <w:trHeight w:val="315"/>
        </w:trPr>
        <w:tc>
          <w:tcPr>
            <w:tcW w:w="101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F6CC7" w14:textId="7242D038" w:rsidR="00921A78" w:rsidRPr="008B39E1" w:rsidRDefault="00815FFF" w:rsidP="000F0F5A">
            <w:pPr>
              <w:spacing w:after="0" w:line="240" w:lineRule="auto"/>
              <w:rPr>
                <w:rFonts w:ascii="Times New Roman" w:eastAsia="Times New Roman" w:hAnsi="Times New Roman" w:cs="Times New Roman"/>
                <w:color w:val="000000"/>
              </w:rPr>
            </w:pPr>
            <w:r w:rsidRPr="008B39E1">
              <w:rPr>
                <w:rFonts w:ascii="Times New Roman" w:eastAsia="Times New Roman" w:hAnsi="Times New Roman" w:cs="Times New Roman"/>
                <w:color w:val="000000"/>
              </w:rPr>
              <w:t>Sample</w:t>
            </w:r>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14:paraId="3FACD267"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N</w:t>
            </w:r>
          </w:p>
        </w:tc>
        <w:tc>
          <w:tcPr>
            <w:tcW w:w="605" w:type="pct"/>
            <w:tcBorders>
              <w:top w:val="single" w:sz="4" w:space="0" w:color="auto"/>
              <w:left w:val="nil"/>
              <w:bottom w:val="single" w:sz="4" w:space="0" w:color="auto"/>
              <w:right w:val="single" w:sz="4" w:space="0" w:color="auto"/>
            </w:tcBorders>
            <w:shd w:val="clear" w:color="auto" w:fill="auto"/>
            <w:noWrap/>
            <w:vAlign w:val="bottom"/>
            <w:hideMark/>
          </w:tcPr>
          <w:p w14:paraId="64109787"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Min</w:t>
            </w:r>
          </w:p>
        </w:tc>
        <w:tc>
          <w:tcPr>
            <w:tcW w:w="638" w:type="pct"/>
            <w:tcBorders>
              <w:top w:val="single" w:sz="4" w:space="0" w:color="auto"/>
              <w:left w:val="nil"/>
              <w:bottom w:val="single" w:sz="4" w:space="0" w:color="auto"/>
              <w:right w:val="single" w:sz="4" w:space="0" w:color="auto"/>
            </w:tcBorders>
            <w:shd w:val="clear" w:color="auto" w:fill="auto"/>
            <w:noWrap/>
            <w:vAlign w:val="bottom"/>
            <w:hideMark/>
          </w:tcPr>
          <w:p w14:paraId="6B91F546"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Max</w:t>
            </w:r>
          </w:p>
        </w:tc>
        <w:tc>
          <w:tcPr>
            <w:tcW w:w="644" w:type="pct"/>
            <w:tcBorders>
              <w:top w:val="single" w:sz="4" w:space="0" w:color="auto"/>
              <w:left w:val="nil"/>
              <w:bottom w:val="single" w:sz="4" w:space="0" w:color="auto"/>
              <w:right w:val="single" w:sz="4" w:space="0" w:color="auto"/>
            </w:tcBorders>
            <w:shd w:val="clear" w:color="auto" w:fill="auto"/>
            <w:noWrap/>
            <w:vAlign w:val="bottom"/>
            <w:hideMark/>
          </w:tcPr>
          <w:p w14:paraId="597B7976"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Mean</w:t>
            </w:r>
          </w:p>
        </w:tc>
        <w:tc>
          <w:tcPr>
            <w:tcW w:w="537" w:type="pct"/>
            <w:tcBorders>
              <w:top w:val="single" w:sz="4" w:space="0" w:color="auto"/>
              <w:left w:val="nil"/>
              <w:bottom w:val="single" w:sz="4" w:space="0" w:color="auto"/>
              <w:right w:val="single" w:sz="4" w:space="0" w:color="auto"/>
            </w:tcBorders>
            <w:shd w:val="clear" w:color="auto" w:fill="auto"/>
            <w:noWrap/>
            <w:vAlign w:val="bottom"/>
            <w:hideMark/>
          </w:tcPr>
          <w:p w14:paraId="70EF8798"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P25</w:t>
            </w:r>
          </w:p>
        </w:tc>
        <w:tc>
          <w:tcPr>
            <w:tcW w:w="537" w:type="pct"/>
            <w:tcBorders>
              <w:top w:val="single" w:sz="4" w:space="0" w:color="auto"/>
              <w:left w:val="nil"/>
              <w:bottom w:val="single" w:sz="4" w:space="0" w:color="auto"/>
              <w:right w:val="single" w:sz="4" w:space="0" w:color="auto"/>
            </w:tcBorders>
            <w:shd w:val="clear" w:color="auto" w:fill="auto"/>
            <w:noWrap/>
            <w:vAlign w:val="bottom"/>
            <w:hideMark/>
          </w:tcPr>
          <w:p w14:paraId="3031C95B"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P50</w:t>
            </w:r>
          </w:p>
        </w:tc>
        <w:tc>
          <w:tcPr>
            <w:tcW w:w="537" w:type="pct"/>
            <w:tcBorders>
              <w:top w:val="single" w:sz="4" w:space="0" w:color="auto"/>
              <w:left w:val="nil"/>
              <w:bottom w:val="single" w:sz="4" w:space="0" w:color="auto"/>
              <w:right w:val="single" w:sz="4" w:space="0" w:color="auto"/>
            </w:tcBorders>
            <w:shd w:val="clear" w:color="auto" w:fill="auto"/>
            <w:noWrap/>
            <w:vAlign w:val="bottom"/>
            <w:hideMark/>
          </w:tcPr>
          <w:p w14:paraId="01067AB5"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P75</w:t>
            </w:r>
          </w:p>
        </w:tc>
      </w:tr>
      <w:tr w:rsidR="00921A78" w:rsidRPr="008B39E1" w14:paraId="488D2285" w14:textId="77777777" w:rsidTr="00921A78">
        <w:trPr>
          <w:trHeight w:val="315"/>
        </w:trPr>
        <w:tc>
          <w:tcPr>
            <w:tcW w:w="1016" w:type="pct"/>
            <w:tcBorders>
              <w:top w:val="nil"/>
              <w:left w:val="single" w:sz="4" w:space="0" w:color="auto"/>
              <w:bottom w:val="single" w:sz="4" w:space="0" w:color="auto"/>
              <w:right w:val="single" w:sz="4" w:space="0" w:color="auto"/>
            </w:tcBorders>
            <w:shd w:val="clear" w:color="auto" w:fill="auto"/>
            <w:noWrap/>
            <w:vAlign w:val="bottom"/>
            <w:hideMark/>
          </w:tcPr>
          <w:p w14:paraId="0009A2F6" w14:textId="083ADBAC" w:rsidR="00921A78" w:rsidRPr="008B39E1" w:rsidRDefault="00CF4198" w:rsidP="000F0F5A">
            <w:pPr>
              <w:spacing w:after="0" w:line="240" w:lineRule="auto"/>
              <w:rPr>
                <w:rFonts w:ascii="Times New Roman" w:eastAsia="Times New Roman" w:hAnsi="Times New Roman" w:cs="Times New Roman"/>
                <w:color w:val="000000"/>
              </w:rPr>
            </w:pPr>
            <w:r w:rsidRPr="008B39E1">
              <w:rPr>
                <w:rFonts w:ascii="Times New Roman" w:hAnsi="Times New Roman" w:cs="Times New Roman"/>
              </w:rPr>
              <w:t>RELOCATE</w:t>
            </w:r>
          </w:p>
        </w:tc>
        <w:tc>
          <w:tcPr>
            <w:tcW w:w="486" w:type="pct"/>
            <w:tcBorders>
              <w:top w:val="nil"/>
              <w:left w:val="nil"/>
              <w:bottom w:val="single" w:sz="4" w:space="0" w:color="auto"/>
              <w:right w:val="single" w:sz="4" w:space="0" w:color="auto"/>
            </w:tcBorders>
            <w:shd w:val="clear" w:color="auto" w:fill="auto"/>
            <w:noWrap/>
            <w:vAlign w:val="bottom"/>
            <w:hideMark/>
          </w:tcPr>
          <w:p w14:paraId="0CBD6D3E"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894</w:t>
            </w:r>
          </w:p>
        </w:tc>
        <w:tc>
          <w:tcPr>
            <w:tcW w:w="605" w:type="pct"/>
            <w:tcBorders>
              <w:top w:val="nil"/>
              <w:left w:val="nil"/>
              <w:bottom w:val="single" w:sz="4" w:space="0" w:color="auto"/>
              <w:right w:val="single" w:sz="4" w:space="0" w:color="auto"/>
            </w:tcBorders>
            <w:shd w:val="clear" w:color="auto" w:fill="auto"/>
            <w:noWrap/>
            <w:vAlign w:val="bottom"/>
            <w:hideMark/>
          </w:tcPr>
          <w:p w14:paraId="5A14AE01"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-3.69</w:t>
            </w:r>
          </w:p>
        </w:tc>
        <w:tc>
          <w:tcPr>
            <w:tcW w:w="638" w:type="pct"/>
            <w:tcBorders>
              <w:top w:val="nil"/>
              <w:left w:val="nil"/>
              <w:bottom w:val="single" w:sz="4" w:space="0" w:color="auto"/>
              <w:right w:val="single" w:sz="4" w:space="0" w:color="auto"/>
            </w:tcBorders>
            <w:shd w:val="clear" w:color="auto" w:fill="auto"/>
            <w:noWrap/>
            <w:vAlign w:val="bottom"/>
            <w:hideMark/>
          </w:tcPr>
          <w:p w14:paraId="6664329F"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10.17</w:t>
            </w:r>
          </w:p>
        </w:tc>
        <w:tc>
          <w:tcPr>
            <w:tcW w:w="644" w:type="pct"/>
            <w:tcBorders>
              <w:top w:val="nil"/>
              <w:left w:val="nil"/>
              <w:bottom w:val="single" w:sz="4" w:space="0" w:color="auto"/>
              <w:right w:val="single" w:sz="4" w:space="0" w:color="auto"/>
            </w:tcBorders>
            <w:shd w:val="clear" w:color="auto" w:fill="auto"/>
            <w:noWrap/>
            <w:vAlign w:val="bottom"/>
            <w:hideMark/>
          </w:tcPr>
          <w:p w14:paraId="2CF6F8B8"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4.66</w:t>
            </w:r>
          </w:p>
        </w:tc>
        <w:tc>
          <w:tcPr>
            <w:tcW w:w="537" w:type="pct"/>
            <w:tcBorders>
              <w:top w:val="nil"/>
              <w:left w:val="nil"/>
              <w:bottom w:val="single" w:sz="4" w:space="0" w:color="auto"/>
              <w:right w:val="single" w:sz="4" w:space="0" w:color="auto"/>
            </w:tcBorders>
            <w:shd w:val="clear" w:color="auto" w:fill="auto"/>
            <w:noWrap/>
            <w:vAlign w:val="bottom"/>
            <w:hideMark/>
          </w:tcPr>
          <w:p w14:paraId="19B08775"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2.84</w:t>
            </w:r>
          </w:p>
        </w:tc>
        <w:tc>
          <w:tcPr>
            <w:tcW w:w="537" w:type="pct"/>
            <w:tcBorders>
              <w:top w:val="nil"/>
              <w:left w:val="nil"/>
              <w:bottom w:val="single" w:sz="4" w:space="0" w:color="auto"/>
              <w:right w:val="single" w:sz="4" w:space="0" w:color="auto"/>
            </w:tcBorders>
            <w:shd w:val="clear" w:color="auto" w:fill="auto"/>
            <w:noWrap/>
            <w:vAlign w:val="bottom"/>
            <w:hideMark/>
          </w:tcPr>
          <w:p w14:paraId="24495A77"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4.98</w:t>
            </w:r>
          </w:p>
        </w:tc>
        <w:tc>
          <w:tcPr>
            <w:tcW w:w="537" w:type="pct"/>
            <w:tcBorders>
              <w:top w:val="nil"/>
              <w:left w:val="nil"/>
              <w:bottom w:val="single" w:sz="4" w:space="0" w:color="auto"/>
              <w:right w:val="single" w:sz="4" w:space="0" w:color="auto"/>
            </w:tcBorders>
            <w:shd w:val="clear" w:color="auto" w:fill="auto"/>
            <w:noWrap/>
            <w:vAlign w:val="bottom"/>
            <w:hideMark/>
          </w:tcPr>
          <w:p w14:paraId="2D203B3B"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6.71</w:t>
            </w:r>
          </w:p>
        </w:tc>
      </w:tr>
      <w:tr w:rsidR="00921A78" w:rsidRPr="008B39E1" w14:paraId="47749D31" w14:textId="77777777" w:rsidTr="00921A78">
        <w:trPr>
          <w:trHeight w:val="315"/>
        </w:trPr>
        <w:tc>
          <w:tcPr>
            <w:tcW w:w="1016" w:type="pct"/>
            <w:tcBorders>
              <w:top w:val="nil"/>
              <w:left w:val="single" w:sz="4" w:space="0" w:color="auto"/>
              <w:bottom w:val="single" w:sz="4" w:space="0" w:color="auto"/>
              <w:right w:val="single" w:sz="4" w:space="0" w:color="auto"/>
            </w:tcBorders>
            <w:shd w:val="clear" w:color="auto" w:fill="auto"/>
            <w:noWrap/>
            <w:vAlign w:val="bottom"/>
            <w:hideMark/>
          </w:tcPr>
          <w:p w14:paraId="69722B38" w14:textId="77777777" w:rsidR="00921A78" w:rsidRPr="008B39E1" w:rsidRDefault="00921A78" w:rsidP="000F0F5A">
            <w:pPr>
              <w:spacing w:after="0" w:line="240" w:lineRule="auto"/>
              <w:rPr>
                <w:rFonts w:ascii="Times New Roman" w:eastAsia="Times New Roman" w:hAnsi="Times New Roman" w:cs="Times New Roman"/>
                <w:color w:val="000000"/>
              </w:rPr>
            </w:pPr>
            <w:r w:rsidRPr="008B39E1">
              <w:rPr>
                <w:rFonts w:ascii="Times New Roman" w:eastAsia="Times New Roman" w:hAnsi="Times New Roman" w:cs="Times New Roman"/>
                <w:color w:val="000000"/>
              </w:rPr>
              <w:t>Control</w:t>
            </w:r>
          </w:p>
        </w:tc>
        <w:tc>
          <w:tcPr>
            <w:tcW w:w="486" w:type="pct"/>
            <w:tcBorders>
              <w:top w:val="nil"/>
              <w:left w:val="nil"/>
              <w:bottom w:val="single" w:sz="4" w:space="0" w:color="auto"/>
              <w:right w:val="single" w:sz="4" w:space="0" w:color="auto"/>
            </w:tcBorders>
            <w:shd w:val="clear" w:color="auto" w:fill="auto"/>
            <w:noWrap/>
            <w:vAlign w:val="bottom"/>
            <w:hideMark/>
          </w:tcPr>
          <w:p w14:paraId="5BF0FA8E"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894</w:t>
            </w:r>
          </w:p>
        </w:tc>
        <w:tc>
          <w:tcPr>
            <w:tcW w:w="605" w:type="pct"/>
            <w:tcBorders>
              <w:top w:val="nil"/>
              <w:left w:val="nil"/>
              <w:bottom w:val="single" w:sz="4" w:space="0" w:color="auto"/>
              <w:right w:val="single" w:sz="4" w:space="0" w:color="auto"/>
            </w:tcBorders>
            <w:shd w:val="clear" w:color="auto" w:fill="auto"/>
            <w:noWrap/>
            <w:vAlign w:val="bottom"/>
            <w:hideMark/>
          </w:tcPr>
          <w:p w14:paraId="46C8F30D"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-3.69</w:t>
            </w:r>
          </w:p>
        </w:tc>
        <w:tc>
          <w:tcPr>
            <w:tcW w:w="638" w:type="pct"/>
            <w:tcBorders>
              <w:top w:val="nil"/>
              <w:left w:val="nil"/>
              <w:bottom w:val="single" w:sz="4" w:space="0" w:color="auto"/>
              <w:right w:val="single" w:sz="4" w:space="0" w:color="auto"/>
            </w:tcBorders>
            <w:shd w:val="clear" w:color="auto" w:fill="auto"/>
            <w:noWrap/>
            <w:vAlign w:val="bottom"/>
            <w:hideMark/>
          </w:tcPr>
          <w:p w14:paraId="26210EEB"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10.17</w:t>
            </w:r>
          </w:p>
        </w:tc>
        <w:tc>
          <w:tcPr>
            <w:tcW w:w="644" w:type="pct"/>
            <w:tcBorders>
              <w:top w:val="nil"/>
              <w:left w:val="nil"/>
              <w:bottom w:val="single" w:sz="4" w:space="0" w:color="auto"/>
              <w:right w:val="single" w:sz="4" w:space="0" w:color="auto"/>
            </w:tcBorders>
            <w:shd w:val="clear" w:color="auto" w:fill="auto"/>
            <w:noWrap/>
            <w:vAlign w:val="bottom"/>
            <w:hideMark/>
          </w:tcPr>
          <w:p w14:paraId="5D461500"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4.75</w:t>
            </w:r>
          </w:p>
        </w:tc>
        <w:tc>
          <w:tcPr>
            <w:tcW w:w="537" w:type="pct"/>
            <w:tcBorders>
              <w:top w:val="nil"/>
              <w:left w:val="nil"/>
              <w:bottom w:val="single" w:sz="4" w:space="0" w:color="auto"/>
              <w:right w:val="single" w:sz="4" w:space="0" w:color="auto"/>
            </w:tcBorders>
            <w:shd w:val="clear" w:color="auto" w:fill="auto"/>
            <w:noWrap/>
            <w:vAlign w:val="bottom"/>
            <w:hideMark/>
          </w:tcPr>
          <w:p w14:paraId="64A093B7"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2.95</w:t>
            </w:r>
          </w:p>
        </w:tc>
        <w:tc>
          <w:tcPr>
            <w:tcW w:w="537" w:type="pct"/>
            <w:tcBorders>
              <w:top w:val="nil"/>
              <w:left w:val="nil"/>
              <w:bottom w:val="single" w:sz="4" w:space="0" w:color="auto"/>
              <w:right w:val="single" w:sz="4" w:space="0" w:color="auto"/>
            </w:tcBorders>
            <w:shd w:val="clear" w:color="auto" w:fill="auto"/>
            <w:noWrap/>
            <w:vAlign w:val="bottom"/>
            <w:hideMark/>
          </w:tcPr>
          <w:p w14:paraId="7F4FB0D6"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5.02</w:t>
            </w:r>
          </w:p>
        </w:tc>
        <w:tc>
          <w:tcPr>
            <w:tcW w:w="537" w:type="pct"/>
            <w:tcBorders>
              <w:top w:val="nil"/>
              <w:left w:val="nil"/>
              <w:bottom w:val="single" w:sz="4" w:space="0" w:color="auto"/>
              <w:right w:val="single" w:sz="4" w:space="0" w:color="auto"/>
            </w:tcBorders>
            <w:shd w:val="clear" w:color="auto" w:fill="auto"/>
            <w:noWrap/>
            <w:vAlign w:val="bottom"/>
            <w:hideMark/>
          </w:tcPr>
          <w:p w14:paraId="2F400E62" w14:textId="77777777" w:rsidR="00921A78" w:rsidRPr="008B39E1" w:rsidRDefault="00921A7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6.8</w:t>
            </w:r>
          </w:p>
        </w:tc>
      </w:tr>
    </w:tbl>
    <w:p w14:paraId="289319EA" w14:textId="77777777" w:rsidR="00472799" w:rsidRPr="008B39E1" w:rsidRDefault="00472799" w:rsidP="000F0F5A">
      <w:pPr>
        <w:spacing w:after="0" w:line="240" w:lineRule="auto"/>
        <w:jc w:val="center"/>
        <w:rPr>
          <w:rFonts w:ascii="Times New Roman" w:hAnsi="Times New Roman" w:cs="Times New Roman"/>
          <w:b/>
          <w:bCs/>
          <w:sz w:val="24"/>
          <w:szCs w:val="24"/>
        </w:rPr>
      </w:pPr>
    </w:p>
    <w:tbl>
      <w:tblPr>
        <w:tblW w:w="0" w:type="auto"/>
        <w:tblLayout w:type="fixed"/>
        <w:tblLook w:val="04A0" w:firstRow="1" w:lastRow="0" w:firstColumn="1" w:lastColumn="0" w:noHBand="0" w:noVBand="1"/>
      </w:tblPr>
      <w:tblGrid>
        <w:gridCol w:w="3955"/>
        <w:gridCol w:w="1440"/>
        <w:gridCol w:w="1440"/>
        <w:gridCol w:w="1440"/>
        <w:gridCol w:w="1440"/>
      </w:tblGrid>
      <w:tr w:rsidR="00E85CFD" w:rsidRPr="008B39E1" w14:paraId="2052E2A2" w14:textId="77777777" w:rsidTr="00777D90">
        <w:trPr>
          <w:trHeight w:val="315"/>
        </w:trPr>
        <w:tc>
          <w:tcPr>
            <w:tcW w:w="3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5DCDA" w14:textId="7CB1C9FF" w:rsidR="00472799" w:rsidRPr="008B39E1" w:rsidRDefault="00472799" w:rsidP="000F0F5A">
            <w:pPr>
              <w:spacing w:after="0" w:line="240" w:lineRule="auto"/>
              <w:jc w:val="center"/>
              <w:rPr>
                <w:rFonts w:ascii="Times New Roman" w:eastAsia="Times New Roman" w:hAnsi="Times New Roman" w:cs="Times New Roman"/>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02465B89" w14:textId="550A1B8B" w:rsidR="00CF4198" w:rsidRPr="008B39E1" w:rsidRDefault="00CF4198"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rPr>
              <w:t>RELOCATE</w:t>
            </w:r>
            <w:r w:rsidRPr="008B39E1" w:rsidDel="00E85CFD">
              <w:rPr>
                <w:rFonts w:ascii="Times New Roman" w:eastAsia="Times New Roman" w:hAnsi="Times New Roman" w:cs="Times New Roman"/>
                <w:color w:val="000000"/>
              </w:rPr>
              <w:t xml:space="preserve"> </w:t>
            </w:r>
            <w:r w:rsidRPr="008B39E1">
              <w:rPr>
                <w:rFonts w:ascii="Times New Roman" w:eastAsia="Times New Roman" w:hAnsi="Times New Roman" w:cs="Times New Roman"/>
                <w:color w:val="000000"/>
              </w:rPr>
              <w:t>Sample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6032488F" w14:textId="7FCF76F6" w:rsidR="00472799" w:rsidRPr="008B39E1" w:rsidRDefault="005945E2"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 xml:space="preserve">Non-relocate </w:t>
            </w:r>
            <w:r w:rsidR="00CF4198" w:rsidRPr="008B39E1">
              <w:rPr>
                <w:rFonts w:ascii="Times New Roman" w:eastAsia="Times New Roman" w:hAnsi="Times New Roman" w:cs="Times New Roman"/>
                <w:color w:val="000000"/>
              </w:rPr>
              <w:t>Sample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0416777A" w14:textId="27CD2D05"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Diff</w:t>
            </w:r>
            <w:r w:rsidR="00CF4198" w:rsidRPr="008B39E1">
              <w:rPr>
                <w:rFonts w:ascii="Times New Roman" w:eastAsia="Times New Roman" w:hAnsi="Times New Roman" w:cs="Times New Roman"/>
                <w:color w:val="000000"/>
              </w:rPr>
              <w:t>erence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6CF223C3" w14:textId="03192004" w:rsidR="00472799" w:rsidRPr="008B39E1" w:rsidRDefault="00C72E1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P</w:t>
            </w:r>
            <w:r w:rsidR="00472799" w:rsidRPr="008B39E1">
              <w:rPr>
                <w:rFonts w:ascii="Times New Roman" w:eastAsia="Times New Roman" w:hAnsi="Times New Roman" w:cs="Times New Roman"/>
                <w:color w:val="000000"/>
              </w:rPr>
              <w:t>-</w:t>
            </w:r>
            <w:proofErr w:type="spellStart"/>
            <w:r w:rsidR="00472799" w:rsidRPr="008B39E1">
              <w:rPr>
                <w:rFonts w:ascii="Times New Roman" w:eastAsia="Times New Roman" w:hAnsi="Times New Roman" w:cs="Times New Roman"/>
                <w:color w:val="000000"/>
              </w:rPr>
              <w:t>val</w:t>
            </w:r>
            <w:r w:rsidR="003C705E" w:rsidRPr="008B39E1">
              <w:rPr>
                <w:rFonts w:ascii="Times New Roman" w:eastAsia="Times New Roman" w:hAnsi="Times New Roman" w:cs="Times New Roman"/>
                <w:color w:val="000000"/>
              </w:rPr>
              <w:t>ue</w:t>
            </w:r>
            <w:r w:rsidR="00CB7095" w:rsidRPr="008B39E1">
              <w:rPr>
                <w:rFonts w:ascii="Times New Roman" w:eastAsia="Times New Roman" w:hAnsi="Times New Roman" w:cs="Times New Roman"/>
                <w:color w:val="000000"/>
                <w:vertAlign w:val="superscript"/>
              </w:rPr>
              <w:t>b</w:t>
            </w:r>
            <w:proofErr w:type="spellEnd"/>
          </w:p>
        </w:tc>
      </w:tr>
      <w:tr w:rsidR="00E85CFD" w:rsidRPr="008B39E1" w14:paraId="212A0DAD" w14:textId="77777777" w:rsidTr="00777D90">
        <w:trPr>
          <w:trHeight w:val="315"/>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26CD1ED2" w14:textId="730F4AC3" w:rsidR="00472799" w:rsidRPr="008B39E1" w:rsidRDefault="00472799" w:rsidP="000F0F5A">
            <w:pPr>
              <w:spacing w:after="0" w:line="240" w:lineRule="auto"/>
              <w:rPr>
                <w:rFonts w:ascii="Times New Roman" w:eastAsia="Times New Roman" w:hAnsi="Times New Roman" w:cs="Times New Roman"/>
                <w:color w:val="000000"/>
              </w:rPr>
            </w:pPr>
            <w:r w:rsidRPr="008B39E1">
              <w:rPr>
                <w:rFonts w:ascii="Times New Roman" w:eastAsia="Times New Roman" w:hAnsi="Times New Roman" w:cs="Times New Roman"/>
                <w:color w:val="000000"/>
              </w:rPr>
              <w:t xml:space="preserve">T-test </w:t>
            </w:r>
            <w:r w:rsidR="00815FFF" w:rsidRPr="008B39E1">
              <w:rPr>
                <w:rFonts w:ascii="Times New Roman" w:eastAsia="Times New Roman" w:hAnsi="Times New Roman" w:cs="Times New Roman"/>
                <w:color w:val="000000"/>
              </w:rPr>
              <w:t xml:space="preserve">for mean SIZE in year of </w:t>
            </w:r>
            <w:r w:rsidRPr="008B39E1">
              <w:rPr>
                <w:rFonts w:ascii="Times New Roman" w:eastAsia="Times New Roman" w:hAnsi="Times New Roman" w:cs="Times New Roman"/>
                <w:color w:val="000000"/>
              </w:rPr>
              <w:t xml:space="preserve">move </w:t>
            </w:r>
          </w:p>
        </w:tc>
        <w:tc>
          <w:tcPr>
            <w:tcW w:w="1440" w:type="dxa"/>
            <w:tcBorders>
              <w:top w:val="nil"/>
              <w:left w:val="nil"/>
              <w:bottom w:val="single" w:sz="4" w:space="0" w:color="auto"/>
              <w:right w:val="single" w:sz="4" w:space="0" w:color="auto"/>
            </w:tcBorders>
            <w:shd w:val="clear" w:color="auto" w:fill="auto"/>
            <w:noWrap/>
            <w:vAlign w:val="bottom"/>
            <w:hideMark/>
          </w:tcPr>
          <w:p w14:paraId="26241A15" w14:textId="77777777"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4.66</w:t>
            </w:r>
          </w:p>
        </w:tc>
        <w:tc>
          <w:tcPr>
            <w:tcW w:w="1440" w:type="dxa"/>
            <w:tcBorders>
              <w:top w:val="nil"/>
              <w:left w:val="nil"/>
              <w:bottom w:val="single" w:sz="4" w:space="0" w:color="auto"/>
              <w:right w:val="single" w:sz="4" w:space="0" w:color="auto"/>
            </w:tcBorders>
            <w:shd w:val="clear" w:color="auto" w:fill="auto"/>
            <w:noWrap/>
            <w:vAlign w:val="bottom"/>
            <w:hideMark/>
          </w:tcPr>
          <w:p w14:paraId="52096F85" w14:textId="77777777"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4.75</w:t>
            </w:r>
          </w:p>
        </w:tc>
        <w:tc>
          <w:tcPr>
            <w:tcW w:w="1440" w:type="dxa"/>
            <w:tcBorders>
              <w:top w:val="nil"/>
              <w:left w:val="nil"/>
              <w:bottom w:val="single" w:sz="4" w:space="0" w:color="auto"/>
              <w:right w:val="single" w:sz="4" w:space="0" w:color="auto"/>
            </w:tcBorders>
            <w:shd w:val="clear" w:color="auto" w:fill="auto"/>
            <w:noWrap/>
            <w:vAlign w:val="bottom"/>
            <w:hideMark/>
          </w:tcPr>
          <w:p w14:paraId="4F081DA1" w14:textId="77777777"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0.09</w:t>
            </w:r>
          </w:p>
        </w:tc>
        <w:tc>
          <w:tcPr>
            <w:tcW w:w="1440" w:type="dxa"/>
            <w:tcBorders>
              <w:top w:val="nil"/>
              <w:left w:val="nil"/>
              <w:bottom w:val="single" w:sz="4" w:space="0" w:color="auto"/>
              <w:right w:val="single" w:sz="4" w:space="0" w:color="auto"/>
            </w:tcBorders>
            <w:shd w:val="clear" w:color="auto" w:fill="auto"/>
            <w:noWrap/>
            <w:vAlign w:val="bottom"/>
            <w:hideMark/>
          </w:tcPr>
          <w:p w14:paraId="05657AF0" w14:textId="77777777"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0.5191</w:t>
            </w:r>
          </w:p>
        </w:tc>
      </w:tr>
      <w:tr w:rsidR="00E85CFD" w:rsidRPr="008B39E1" w14:paraId="543881AB" w14:textId="77777777" w:rsidTr="00777D90">
        <w:trPr>
          <w:trHeight w:val="315"/>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655B5A12" w14:textId="0B572FE3" w:rsidR="00472799" w:rsidRPr="008B39E1" w:rsidRDefault="00472799" w:rsidP="000F0F5A">
            <w:pPr>
              <w:spacing w:after="0" w:line="240" w:lineRule="auto"/>
              <w:rPr>
                <w:rFonts w:ascii="Times New Roman" w:eastAsia="Times New Roman" w:hAnsi="Times New Roman" w:cs="Times New Roman"/>
                <w:color w:val="000000"/>
              </w:rPr>
            </w:pPr>
            <w:r w:rsidRPr="008B39E1">
              <w:rPr>
                <w:rFonts w:ascii="Times New Roman" w:eastAsia="Times New Roman" w:hAnsi="Times New Roman" w:cs="Times New Roman"/>
                <w:color w:val="000000"/>
              </w:rPr>
              <w:t xml:space="preserve">Test </w:t>
            </w:r>
            <w:r w:rsidR="00815FFF" w:rsidRPr="008B39E1">
              <w:rPr>
                <w:rFonts w:ascii="Times New Roman" w:eastAsia="Times New Roman" w:hAnsi="Times New Roman" w:cs="Times New Roman"/>
                <w:color w:val="000000"/>
              </w:rPr>
              <w:t xml:space="preserve">for median SIZE </w:t>
            </w:r>
            <w:r w:rsidR="006E1BDD" w:rsidRPr="008B39E1">
              <w:rPr>
                <w:rFonts w:ascii="Times New Roman" w:eastAsia="Times New Roman" w:hAnsi="Times New Roman" w:cs="Times New Roman"/>
                <w:color w:val="000000"/>
              </w:rPr>
              <w:t xml:space="preserve">in year of move </w:t>
            </w:r>
          </w:p>
        </w:tc>
        <w:tc>
          <w:tcPr>
            <w:tcW w:w="1440" w:type="dxa"/>
            <w:tcBorders>
              <w:top w:val="nil"/>
              <w:left w:val="nil"/>
              <w:bottom w:val="single" w:sz="4" w:space="0" w:color="auto"/>
              <w:right w:val="single" w:sz="4" w:space="0" w:color="auto"/>
            </w:tcBorders>
            <w:shd w:val="clear" w:color="auto" w:fill="auto"/>
            <w:noWrap/>
            <w:vAlign w:val="bottom"/>
            <w:hideMark/>
          </w:tcPr>
          <w:p w14:paraId="7C9B5587" w14:textId="77777777"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4.98</w:t>
            </w:r>
          </w:p>
        </w:tc>
        <w:tc>
          <w:tcPr>
            <w:tcW w:w="1440" w:type="dxa"/>
            <w:tcBorders>
              <w:top w:val="nil"/>
              <w:left w:val="nil"/>
              <w:bottom w:val="single" w:sz="4" w:space="0" w:color="auto"/>
              <w:right w:val="single" w:sz="4" w:space="0" w:color="auto"/>
            </w:tcBorders>
            <w:shd w:val="clear" w:color="auto" w:fill="auto"/>
            <w:noWrap/>
            <w:vAlign w:val="bottom"/>
            <w:hideMark/>
          </w:tcPr>
          <w:p w14:paraId="6E2D18F2" w14:textId="77777777"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5.02</w:t>
            </w:r>
          </w:p>
        </w:tc>
        <w:tc>
          <w:tcPr>
            <w:tcW w:w="1440" w:type="dxa"/>
            <w:tcBorders>
              <w:top w:val="nil"/>
              <w:left w:val="nil"/>
              <w:bottom w:val="single" w:sz="4" w:space="0" w:color="auto"/>
              <w:right w:val="single" w:sz="4" w:space="0" w:color="auto"/>
            </w:tcBorders>
            <w:shd w:val="clear" w:color="auto" w:fill="auto"/>
            <w:noWrap/>
            <w:vAlign w:val="bottom"/>
            <w:hideMark/>
          </w:tcPr>
          <w:p w14:paraId="5322F453" w14:textId="77777777"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0.04</w:t>
            </w:r>
          </w:p>
        </w:tc>
        <w:tc>
          <w:tcPr>
            <w:tcW w:w="1440" w:type="dxa"/>
            <w:tcBorders>
              <w:top w:val="nil"/>
              <w:left w:val="nil"/>
              <w:bottom w:val="single" w:sz="4" w:space="0" w:color="auto"/>
              <w:right w:val="single" w:sz="4" w:space="0" w:color="auto"/>
            </w:tcBorders>
            <w:shd w:val="clear" w:color="auto" w:fill="auto"/>
            <w:noWrap/>
            <w:vAlign w:val="bottom"/>
            <w:hideMark/>
          </w:tcPr>
          <w:p w14:paraId="7F03EA17" w14:textId="77777777"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0.6606</w:t>
            </w:r>
          </w:p>
        </w:tc>
      </w:tr>
      <w:tr w:rsidR="00E85CFD" w:rsidRPr="008B39E1" w14:paraId="7A517B0D" w14:textId="77777777" w:rsidTr="00777D90">
        <w:trPr>
          <w:trHeight w:val="315"/>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16D36D24" w14:textId="77777777" w:rsidR="00472799" w:rsidRPr="008B39E1" w:rsidRDefault="00472799" w:rsidP="000F0F5A">
            <w:pPr>
              <w:spacing w:after="0" w:line="240" w:lineRule="auto"/>
              <w:rPr>
                <w:rFonts w:ascii="Times New Roman" w:eastAsia="Times New Roman" w:hAnsi="Times New Roman" w:cs="Times New Roman"/>
                <w:color w:val="000000"/>
              </w:rPr>
            </w:pPr>
            <w:r w:rsidRPr="008B39E1">
              <w:rPr>
                <w:rFonts w:ascii="Times New Roman" w:eastAsia="Times New Roman" w:hAnsi="Times New Roman" w:cs="Times New Roman"/>
                <w:color w:val="000000"/>
              </w:rPr>
              <w:t>N</w:t>
            </w:r>
          </w:p>
        </w:tc>
        <w:tc>
          <w:tcPr>
            <w:tcW w:w="1440" w:type="dxa"/>
            <w:tcBorders>
              <w:top w:val="nil"/>
              <w:left w:val="nil"/>
              <w:bottom w:val="single" w:sz="4" w:space="0" w:color="auto"/>
              <w:right w:val="single" w:sz="4" w:space="0" w:color="auto"/>
            </w:tcBorders>
            <w:shd w:val="clear" w:color="auto" w:fill="auto"/>
            <w:noWrap/>
            <w:vAlign w:val="bottom"/>
            <w:hideMark/>
          </w:tcPr>
          <w:p w14:paraId="480EC6C2" w14:textId="77777777"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894</w:t>
            </w:r>
          </w:p>
        </w:tc>
        <w:tc>
          <w:tcPr>
            <w:tcW w:w="1440" w:type="dxa"/>
            <w:tcBorders>
              <w:top w:val="nil"/>
              <w:left w:val="nil"/>
              <w:bottom w:val="single" w:sz="4" w:space="0" w:color="auto"/>
              <w:right w:val="single" w:sz="4" w:space="0" w:color="auto"/>
            </w:tcBorders>
            <w:shd w:val="clear" w:color="auto" w:fill="auto"/>
            <w:noWrap/>
            <w:vAlign w:val="bottom"/>
            <w:hideMark/>
          </w:tcPr>
          <w:p w14:paraId="79EBE1A8" w14:textId="77777777" w:rsidR="00472799" w:rsidRPr="008B39E1" w:rsidRDefault="0047279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894</w:t>
            </w:r>
          </w:p>
        </w:tc>
        <w:tc>
          <w:tcPr>
            <w:tcW w:w="1440" w:type="dxa"/>
            <w:tcBorders>
              <w:top w:val="nil"/>
              <w:left w:val="nil"/>
              <w:bottom w:val="single" w:sz="4" w:space="0" w:color="auto"/>
              <w:right w:val="single" w:sz="4" w:space="0" w:color="auto"/>
            </w:tcBorders>
            <w:shd w:val="clear" w:color="auto" w:fill="auto"/>
            <w:noWrap/>
            <w:vAlign w:val="bottom"/>
            <w:hideMark/>
          </w:tcPr>
          <w:p w14:paraId="693CDA6C" w14:textId="58793AD3" w:rsidR="00472799" w:rsidRPr="008B39E1" w:rsidRDefault="00472799" w:rsidP="000F0F5A">
            <w:pPr>
              <w:spacing w:after="0" w:line="240" w:lineRule="auto"/>
              <w:jc w:val="center"/>
              <w:rPr>
                <w:rFonts w:ascii="Times New Roman" w:eastAsia="Times New Roman" w:hAnsi="Times New Roman" w:cs="Times New Roman"/>
                <w:color w:val="000000"/>
              </w:rPr>
            </w:pPr>
          </w:p>
        </w:tc>
        <w:tc>
          <w:tcPr>
            <w:tcW w:w="1440" w:type="dxa"/>
            <w:tcBorders>
              <w:top w:val="nil"/>
              <w:left w:val="nil"/>
              <w:bottom w:val="single" w:sz="4" w:space="0" w:color="auto"/>
              <w:right w:val="single" w:sz="4" w:space="0" w:color="auto"/>
            </w:tcBorders>
            <w:shd w:val="clear" w:color="auto" w:fill="auto"/>
            <w:noWrap/>
            <w:vAlign w:val="bottom"/>
            <w:hideMark/>
          </w:tcPr>
          <w:p w14:paraId="5E944CC1" w14:textId="3DD29116" w:rsidR="00472799" w:rsidRPr="008B39E1" w:rsidRDefault="00472799" w:rsidP="000F0F5A">
            <w:pPr>
              <w:spacing w:after="0" w:line="240" w:lineRule="auto"/>
              <w:jc w:val="center"/>
              <w:rPr>
                <w:rFonts w:ascii="Times New Roman" w:eastAsia="Times New Roman" w:hAnsi="Times New Roman" w:cs="Times New Roman"/>
                <w:color w:val="000000"/>
              </w:rPr>
            </w:pPr>
          </w:p>
        </w:tc>
      </w:tr>
    </w:tbl>
    <w:p w14:paraId="22A6B31D" w14:textId="77777777" w:rsidR="00CB7095" w:rsidRPr="008B39E1" w:rsidRDefault="00815FFF" w:rsidP="000F0F5A">
      <w:pPr>
        <w:spacing w:after="0" w:line="240" w:lineRule="auto"/>
        <w:rPr>
          <w:rFonts w:ascii="Times New Roman" w:hAnsi="Times New Roman" w:cs="Times New Roman"/>
          <w:sz w:val="20"/>
          <w:szCs w:val="20"/>
        </w:rPr>
      </w:pPr>
      <w:r w:rsidRPr="008B39E1">
        <w:rPr>
          <w:rFonts w:ascii="Times New Roman" w:hAnsi="Times New Roman" w:cs="Times New Roman"/>
          <w:sz w:val="20"/>
          <w:szCs w:val="20"/>
          <w:vertAlign w:val="superscript"/>
        </w:rPr>
        <w:t xml:space="preserve">a </w:t>
      </w:r>
      <w:r w:rsidRPr="008B39E1">
        <w:rPr>
          <w:rFonts w:ascii="Times New Roman" w:hAnsi="Times New Roman" w:cs="Times New Roman"/>
          <w:sz w:val="20"/>
          <w:szCs w:val="20"/>
        </w:rPr>
        <w:t>Firm</w:t>
      </w:r>
      <w:r w:rsidRPr="008B39E1">
        <w:rPr>
          <w:rFonts w:ascii="Times New Roman" w:hAnsi="Times New Roman" w:cs="Times New Roman"/>
          <w:sz w:val="20"/>
          <w:szCs w:val="20"/>
          <w:vertAlign w:val="superscript"/>
        </w:rPr>
        <w:t xml:space="preserve"> </w:t>
      </w:r>
      <w:r w:rsidRPr="008B39E1">
        <w:rPr>
          <w:rFonts w:ascii="Times New Roman" w:hAnsi="Times New Roman" w:cs="Times New Roman"/>
          <w:sz w:val="20"/>
          <w:szCs w:val="20"/>
        </w:rPr>
        <w:t>size (SI</w:t>
      </w:r>
      <w:r w:rsidR="00E85CFD" w:rsidRPr="008B39E1">
        <w:rPr>
          <w:rFonts w:ascii="Times New Roman" w:hAnsi="Times New Roman" w:cs="Times New Roman"/>
          <w:sz w:val="20"/>
          <w:szCs w:val="20"/>
        </w:rPr>
        <w:t xml:space="preserve">ZE) = Natural </w:t>
      </w:r>
      <w:proofErr w:type="gramStart"/>
      <w:r w:rsidR="00E85CFD" w:rsidRPr="008B39E1">
        <w:rPr>
          <w:rFonts w:ascii="Times New Roman" w:hAnsi="Times New Roman" w:cs="Times New Roman"/>
          <w:sz w:val="20"/>
          <w:szCs w:val="20"/>
        </w:rPr>
        <w:t>Log</w:t>
      </w:r>
      <w:r w:rsidRPr="008B39E1">
        <w:rPr>
          <w:rFonts w:ascii="Times New Roman" w:hAnsi="Times New Roman" w:cs="Times New Roman"/>
          <w:sz w:val="20"/>
          <w:szCs w:val="20"/>
        </w:rPr>
        <w:t>(</w:t>
      </w:r>
      <w:proofErr w:type="gramEnd"/>
      <w:r w:rsidRPr="008B39E1">
        <w:rPr>
          <w:rFonts w:ascii="Times New Roman" w:hAnsi="Times New Roman" w:cs="Times New Roman"/>
          <w:sz w:val="20"/>
          <w:szCs w:val="20"/>
        </w:rPr>
        <w:t>total assets)</w:t>
      </w:r>
    </w:p>
    <w:p w14:paraId="488929C2" w14:textId="77777777" w:rsidR="00E96754" w:rsidRDefault="00CB7095" w:rsidP="000F0F5A">
      <w:pPr>
        <w:spacing w:after="0" w:line="240" w:lineRule="auto"/>
        <w:rPr>
          <w:rFonts w:ascii="Times New Roman" w:hAnsi="Times New Roman" w:cs="Times New Roman"/>
          <w:sz w:val="20"/>
          <w:szCs w:val="20"/>
        </w:rPr>
      </w:pPr>
      <w:r w:rsidRPr="008B39E1">
        <w:rPr>
          <w:rFonts w:ascii="Times New Roman" w:hAnsi="Times New Roman" w:cs="Times New Roman"/>
          <w:sz w:val="20"/>
          <w:szCs w:val="20"/>
        </w:rPr>
        <w:t>b T-test for difference in means; Wilcoxon</w:t>
      </w:r>
      <w:r w:rsidR="00C0602A" w:rsidRPr="008B39E1">
        <w:rPr>
          <w:rFonts w:ascii="Times New Roman" w:hAnsi="Times New Roman" w:cs="Times New Roman"/>
          <w:sz w:val="20"/>
          <w:szCs w:val="20"/>
        </w:rPr>
        <w:t xml:space="preserve"> rank-sum</w:t>
      </w:r>
      <w:r w:rsidRPr="008B39E1">
        <w:rPr>
          <w:rFonts w:ascii="Times New Roman" w:hAnsi="Times New Roman" w:cs="Times New Roman"/>
          <w:sz w:val="20"/>
          <w:szCs w:val="20"/>
        </w:rPr>
        <w:t xml:space="preserve"> test for difference in medians.</w:t>
      </w:r>
    </w:p>
    <w:p w14:paraId="4C1A4688" w14:textId="0EDCC356" w:rsidR="00BE4095" w:rsidRPr="00E96754" w:rsidRDefault="00E96754" w:rsidP="000F0F5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Source: Authors own work. </w:t>
      </w:r>
      <w:r w:rsidR="00EB242A" w:rsidRPr="008B39E1">
        <w:rPr>
          <w:rFonts w:ascii="Times New Roman" w:hAnsi="Times New Roman" w:cs="Times New Roman"/>
          <w:vertAlign w:val="superscript"/>
        </w:rPr>
        <w:br w:type="page"/>
      </w:r>
    </w:p>
    <w:p w14:paraId="34A0EBDE" w14:textId="65004521" w:rsidR="00576C11" w:rsidRPr="008B39E1" w:rsidRDefault="00DC55B9"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lastRenderedPageBreak/>
        <w:t>TABLE II</w:t>
      </w:r>
    </w:p>
    <w:p w14:paraId="1C8572B3" w14:textId="77777777" w:rsidR="00576C11" w:rsidRPr="008B39E1" w:rsidRDefault="00576C11"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Descriptive Statistics</w:t>
      </w:r>
    </w:p>
    <w:p w14:paraId="468E08B4"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6C9FC351" w14:textId="6EF556B5" w:rsidR="00700FE0" w:rsidRPr="008B39E1" w:rsidRDefault="00700FE0"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Panel A: Frequency of</w:t>
      </w:r>
      <w:r w:rsidR="00120278" w:rsidRPr="008B39E1">
        <w:rPr>
          <w:rFonts w:ascii="Times New Roman" w:hAnsi="Times New Roman" w:cs="Times New Roman"/>
          <w:b/>
          <w:bCs/>
          <w:sz w:val="24"/>
          <w:szCs w:val="24"/>
        </w:rPr>
        <w:t xml:space="preserve"> </w:t>
      </w:r>
      <w:r w:rsidRPr="008B39E1">
        <w:rPr>
          <w:rFonts w:ascii="Times New Roman" w:hAnsi="Times New Roman" w:cs="Times New Roman"/>
          <w:b/>
          <w:bCs/>
          <w:sz w:val="24"/>
          <w:szCs w:val="24"/>
        </w:rPr>
        <w:t>Internal Control Ineffectiveness</w:t>
      </w:r>
      <w:r w:rsidR="008746E4" w:rsidRPr="008B39E1">
        <w:rPr>
          <w:rFonts w:ascii="Times New Roman" w:hAnsi="Times New Roman" w:cs="Times New Roman"/>
          <w:b/>
          <w:bCs/>
          <w:sz w:val="24"/>
          <w:szCs w:val="24"/>
        </w:rPr>
        <w:t xml:space="preserve"> </w:t>
      </w:r>
    </w:p>
    <w:p w14:paraId="3EC2A87D" w14:textId="2E941F5C" w:rsidR="00120278" w:rsidRPr="008B39E1" w:rsidRDefault="00120278" w:rsidP="000F0F5A">
      <w:pPr>
        <w:spacing w:after="0" w:line="240" w:lineRule="auto"/>
        <w:rPr>
          <w:rFonts w:ascii="Times New Roman" w:hAnsi="Times New Roman" w:cs="Times New Roman"/>
          <w:b/>
          <w:bCs/>
          <w:sz w:val="24"/>
          <w:szCs w:val="24"/>
        </w:rPr>
      </w:pPr>
    </w:p>
    <w:tbl>
      <w:tblPr>
        <w:tblStyle w:val="TableGrid"/>
        <w:tblW w:w="4102" w:type="pct"/>
        <w:tblLook w:val="04A0" w:firstRow="1" w:lastRow="0" w:firstColumn="1" w:lastColumn="0" w:noHBand="0" w:noVBand="1"/>
      </w:tblPr>
      <w:tblGrid>
        <w:gridCol w:w="4316"/>
        <w:gridCol w:w="1677"/>
        <w:gridCol w:w="1678"/>
      </w:tblGrid>
      <w:tr w:rsidR="00AF19A3" w:rsidRPr="008B39E1" w14:paraId="7A72237E" w14:textId="77777777" w:rsidTr="00A74752">
        <w:tc>
          <w:tcPr>
            <w:tcW w:w="2813" w:type="pct"/>
          </w:tcPr>
          <w:p w14:paraId="5A27497E" w14:textId="77777777" w:rsidR="00AF19A3" w:rsidRPr="008B39E1" w:rsidRDefault="00AF19A3" w:rsidP="000F0F5A">
            <w:pPr>
              <w:rPr>
                <w:rFonts w:ascii="Times New Roman" w:hAnsi="Times New Roman" w:cs="Times New Roman"/>
              </w:rPr>
            </w:pPr>
          </w:p>
        </w:tc>
        <w:tc>
          <w:tcPr>
            <w:tcW w:w="1093" w:type="pct"/>
          </w:tcPr>
          <w:p w14:paraId="303B3F6A" w14:textId="5DD6C5E4" w:rsidR="00AF19A3" w:rsidRPr="008B39E1" w:rsidRDefault="00AF19A3" w:rsidP="000F0F5A">
            <w:pPr>
              <w:jc w:val="center"/>
              <w:rPr>
                <w:rFonts w:ascii="Times New Roman" w:hAnsi="Times New Roman" w:cs="Times New Roman"/>
                <w:b/>
                <w:bCs/>
              </w:rPr>
            </w:pPr>
            <w:r w:rsidRPr="008B39E1">
              <w:rPr>
                <w:rFonts w:ascii="Times New Roman" w:hAnsi="Times New Roman" w:cs="Times New Roman"/>
                <w:b/>
                <w:bCs/>
              </w:rPr>
              <w:t>0 (No)</w:t>
            </w:r>
          </w:p>
        </w:tc>
        <w:tc>
          <w:tcPr>
            <w:tcW w:w="1094" w:type="pct"/>
          </w:tcPr>
          <w:p w14:paraId="6BFC9AC6" w14:textId="2E408EA8" w:rsidR="00AF19A3" w:rsidRPr="008B39E1" w:rsidRDefault="00AF19A3" w:rsidP="000F0F5A">
            <w:pPr>
              <w:jc w:val="center"/>
              <w:rPr>
                <w:rFonts w:ascii="Times New Roman" w:hAnsi="Times New Roman" w:cs="Times New Roman"/>
                <w:b/>
                <w:bCs/>
              </w:rPr>
            </w:pPr>
            <w:r w:rsidRPr="008B39E1">
              <w:rPr>
                <w:rFonts w:ascii="Times New Roman" w:hAnsi="Times New Roman" w:cs="Times New Roman"/>
                <w:b/>
                <w:bCs/>
              </w:rPr>
              <w:t>1 (Yes)</w:t>
            </w:r>
          </w:p>
        </w:tc>
      </w:tr>
      <w:tr w:rsidR="00AF19A3" w:rsidRPr="008B39E1" w14:paraId="7570B06D" w14:textId="77777777" w:rsidTr="00A74752">
        <w:tc>
          <w:tcPr>
            <w:tcW w:w="2813" w:type="pct"/>
          </w:tcPr>
          <w:p w14:paraId="79596851" w14:textId="2675A5E3" w:rsidR="00AF19A3" w:rsidRPr="008B39E1" w:rsidRDefault="00AF19A3" w:rsidP="000F0F5A">
            <w:pPr>
              <w:rPr>
                <w:rFonts w:ascii="Times New Roman" w:hAnsi="Times New Roman" w:cs="Times New Roman"/>
              </w:rPr>
            </w:pPr>
            <w:r w:rsidRPr="008B39E1">
              <w:rPr>
                <w:rFonts w:ascii="Times New Roman" w:hAnsi="Times New Roman" w:cs="Times New Roman"/>
              </w:rPr>
              <w:t>Ineffective Internal Control (</w:t>
            </w:r>
            <w:proofErr w:type="spellStart"/>
            <w:r w:rsidRPr="008B39E1">
              <w:rPr>
                <w:rFonts w:ascii="Times New Roman" w:hAnsi="Times New Roman" w:cs="Times New Roman"/>
                <w:i/>
                <w:iCs/>
              </w:rPr>
              <w:t>ICINEFF</w:t>
            </w:r>
            <w:proofErr w:type="spellEnd"/>
            <w:r w:rsidRPr="008B39E1">
              <w:rPr>
                <w:rFonts w:ascii="Times New Roman" w:hAnsi="Times New Roman" w:cs="Times New Roman"/>
              </w:rPr>
              <w:t>)</w:t>
            </w:r>
          </w:p>
        </w:tc>
        <w:tc>
          <w:tcPr>
            <w:tcW w:w="1093" w:type="pct"/>
            <w:vAlign w:val="bottom"/>
          </w:tcPr>
          <w:p w14:paraId="7603EEEC" w14:textId="47CA56A0" w:rsidR="00AF19A3" w:rsidRPr="008B39E1" w:rsidRDefault="00AF19A3" w:rsidP="000F0F5A">
            <w:pPr>
              <w:jc w:val="center"/>
              <w:rPr>
                <w:rFonts w:ascii="Times New Roman" w:hAnsi="Times New Roman" w:cs="Times New Roman"/>
              </w:rPr>
            </w:pPr>
            <w:r w:rsidRPr="008B39E1">
              <w:rPr>
                <w:rFonts w:ascii="Times New Roman" w:hAnsi="Times New Roman" w:cs="Times New Roman"/>
              </w:rPr>
              <w:t>2</w:t>
            </w:r>
            <w:r w:rsidR="006C37C1" w:rsidRPr="008B39E1">
              <w:rPr>
                <w:rFonts w:ascii="Times New Roman" w:hAnsi="Times New Roman" w:cs="Times New Roman"/>
              </w:rPr>
              <w:t>,</w:t>
            </w:r>
            <w:r w:rsidRPr="008B39E1">
              <w:rPr>
                <w:rFonts w:ascii="Times New Roman" w:hAnsi="Times New Roman" w:cs="Times New Roman"/>
              </w:rPr>
              <w:t>907</w:t>
            </w:r>
          </w:p>
        </w:tc>
        <w:tc>
          <w:tcPr>
            <w:tcW w:w="1094" w:type="pct"/>
            <w:vAlign w:val="bottom"/>
          </w:tcPr>
          <w:p w14:paraId="0FF1CB8C" w14:textId="4CC48364" w:rsidR="00AF19A3" w:rsidRPr="008B39E1" w:rsidRDefault="00AF19A3" w:rsidP="000F0F5A">
            <w:pPr>
              <w:jc w:val="center"/>
              <w:rPr>
                <w:rFonts w:ascii="Times New Roman" w:hAnsi="Times New Roman" w:cs="Times New Roman"/>
              </w:rPr>
            </w:pPr>
            <w:r w:rsidRPr="008B39E1">
              <w:rPr>
                <w:rFonts w:ascii="Times New Roman" w:hAnsi="Times New Roman" w:cs="Times New Roman"/>
              </w:rPr>
              <w:t>669</w:t>
            </w:r>
          </w:p>
        </w:tc>
      </w:tr>
      <w:tr w:rsidR="00AF19A3" w:rsidRPr="008B39E1" w14:paraId="7DFFC54D" w14:textId="77777777" w:rsidTr="00A74752">
        <w:tc>
          <w:tcPr>
            <w:tcW w:w="2813" w:type="pct"/>
          </w:tcPr>
          <w:p w14:paraId="07C8A3D8" w14:textId="550C4AB3" w:rsidR="00AF19A3" w:rsidRPr="008B39E1" w:rsidRDefault="00AF19A3" w:rsidP="000F0F5A">
            <w:pPr>
              <w:rPr>
                <w:rFonts w:ascii="Times New Roman" w:hAnsi="Times New Roman" w:cs="Times New Roman"/>
              </w:rPr>
            </w:pPr>
            <w:r w:rsidRPr="008B39E1">
              <w:rPr>
                <w:rFonts w:ascii="Times New Roman" w:hAnsi="Times New Roman" w:cs="Times New Roman"/>
              </w:rPr>
              <w:t>Ineffectiveness resulting from Entity-Level control weaknesses only</w:t>
            </w:r>
          </w:p>
        </w:tc>
        <w:tc>
          <w:tcPr>
            <w:tcW w:w="1093" w:type="pct"/>
            <w:vAlign w:val="bottom"/>
          </w:tcPr>
          <w:p w14:paraId="37424DBE" w14:textId="5F843F46" w:rsidR="00AF19A3" w:rsidRPr="008B39E1" w:rsidRDefault="00AF19A3" w:rsidP="000F0F5A">
            <w:pPr>
              <w:jc w:val="center"/>
              <w:rPr>
                <w:rFonts w:ascii="Times New Roman" w:hAnsi="Times New Roman" w:cs="Times New Roman"/>
              </w:rPr>
            </w:pPr>
            <w:r w:rsidRPr="008B39E1">
              <w:rPr>
                <w:rFonts w:ascii="Times New Roman" w:hAnsi="Times New Roman" w:cs="Times New Roman"/>
              </w:rPr>
              <w:t>3</w:t>
            </w:r>
            <w:r w:rsidR="006C37C1" w:rsidRPr="008B39E1">
              <w:rPr>
                <w:rFonts w:ascii="Times New Roman" w:hAnsi="Times New Roman" w:cs="Times New Roman"/>
              </w:rPr>
              <w:t>,</w:t>
            </w:r>
            <w:r w:rsidRPr="008B39E1">
              <w:rPr>
                <w:rFonts w:ascii="Times New Roman" w:hAnsi="Times New Roman" w:cs="Times New Roman"/>
              </w:rPr>
              <w:t>651</w:t>
            </w:r>
          </w:p>
        </w:tc>
        <w:tc>
          <w:tcPr>
            <w:tcW w:w="1094" w:type="pct"/>
            <w:vAlign w:val="bottom"/>
          </w:tcPr>
          <w:p w14:paraId="05AD3550" w14:textId="7D0A93E1" w:rsidR="00AF19A3" w:rsidRPr="008B39E1" w:rsidRDefault="00AF19A3" w:rsidP="000F0F5A">
            <w:pPr>
              <w:jc w:val="center"/>
              <w:rPr>
                <w:rFonts w:ascii="Times New Roman" w:hAnsi="Times New Roman" w:cs="Times New Roman"/>
              </w:rPr>
            </w:pPr>
            <w:r w:rsidRPr="008B39E1">
              <w:rPr>
                <w:rFonts w:ascii="Times New Roman" w:hAnsi="Times New Roman" w:cs="Times New Roman"/>
              </w:rPr>
              <w:t>15</w:t>
            </w:r>
          </w:p>
        </w:tc>
      </w:tr>
      <w:tr w:rsidR="00AF19A3" w:rsidRPr="008B39E1" w14:paraId="60EE97F5" w14:textId="77777777" w:rsidTr="00A74752">
        <w:tc>
          <w:tcPr>
            <w:tcW w:w="2813" w:type="pct"/>
          </w:tcPr>
          <w:p w14:paraId="584111E2" w14:textId="4F3607DD" w:rsidR="00AF19A3" w:rsidRPr="008B39E1" w:rsidRDefault="00AF19A3" w:rsidP="000F0F5A">
            <w:pPr>
              <w:rPr>
                <w:rFonts w:ascii="Times New Roman" w:hAnsi="Times New Roman" w:cs="Times New Roman"/>
              </w:rPr>
            </w:pPr>
            <w:r w:rsidRPr="008B39E1">
              <w:rPr>
                <w:rFonts w:ascii="Times New Roman" w:hAnsi="Times New Roman" w:cs="Times New Roman"/>
              </w:rPr>
              <w:t xml:space="preserve">Ineffectiveness resulting from Account-specific control weaknesses </w:t>
            </w:r>
            <w:r w:rsidR="003C11F0" w:rsidRPr="008B39E1">
              <w:rPr>
                <w:rFonts w:ascii="Times New Roman" w:hAnsi="Times New Roman" w:cs="Times New Roman"/>
              </w:rPr>
              <w:t>only</w:t>
            </w:r>
          </w:p>
        </w:tc>
        <w:tc>
          <w:tcPr>
            <w:tcW w:w="1093" w:type="pct"/>
            <w:vAlign w:val="bottom"/>
          </w:tcPr>
          <w:p w14:paraId="5357EF21" w14:textId="0C8217C5" w:rsidR="00AF19A3" w:rsidRPr="008B39E1" w:rsidRDefault="00AF19A3" w:rsidP="000F0F5A">
            <w:pPr>
              <w:jc w:val="center"/>
              <w:rPr>
                <w:rFonts w:ascii="Times New Roman" w:hAnsi="Times New Roman" w:cs="Times New Roman"/>
              </w:rPr>
            </w:pPr>
            <w:r w:rsidRPr="008B39E1">
              <w:rPr>
                <w:rFonts w:ascii="Times New Roman" w:hAnsi="Times New Roman" w:cs="Times New Roman"/>
              </w:rPr>
              <w:t>3</w:t>
            </w:r>
            <w:r w:rsidR="006C37C1" w:rsidRPr="008B39E1">
              <w:rPr>
                <w:rFonts w:ascii="Times New Roman" w:hAnsi="Times New Roman" w:cs="Times New Roman"/>
              </w:rPr>
              <w:t>,</w:t>
            </w:r>
            <w:r w:rsidRPr="008B39E1">
              <w:rPr>
                <w:rFonts w:ascii="Times New Roman" w:hAnsi="Times New Roman" w:cs="Times New Roman"/>
              </w:rPr>
              <w:t>576</w:t>
            </w:r>
          </w:p>
        </w:tc>
        <w:tc>
          <w:tcPr>
            <w:tcW w:w="1094" w:type="pct"/>
            <w:vAlign w:val="bottom"/>
          </w:tcPr>
          <w:p w14:paraId="6F7DB1A2" w14:textId="3087CA43" w:rsidR="00AF19A3" w:rsidRPr="008B39E1" w:rsidRDefault="00AF19A3" w:rsidP="000F0F5A">
            <w:pPr>
              <w:jc w:val="center"/>
              <w:rPr>
                <w:rFonts w:ascii="Times New Roman" w:hAnsi="Times New Roman" w:cs="Times New Roman"/>
              </w:rPr>
            </w:pPr>
            <w:r w:rsidRPr="008B39E1">
              <w:rPr>
                <w:rFonts w:ascii="Times New Roman" w:hAnsi="Times New Roman" w:cs="Times New Roman"/>
              </w:rPr>
              <w:t>0</w:t>
            </w:r>
          </w:p>
        </w:tc>
      </w:tr>
      <w:tr w:rsidR="00AF19A3" w:rsidRPr="008B39E1" w14:paraId="02066F68" w14:textId="77777777" w:rsidTr="00A74752">
        <w:tc>
          <w:tcPr>
            <w:tcW w:w="2813" w:type="pct"/>
          </w:tcPr>
          <w:p w14:paraId="3C487882" w14:textId="66D87CC1" w:rsidR="00AF19A3" w:rsidRPr="008B39E1" w:rsidRDefault="00AF19A3" w:rsidP="000F0F5A">
            <w:pPr>
              <w:rPr>
                <w:rFonts w:ascii="Times New Roman" w:hAnsi="Times New Roman" w:cs="Times New Roman"/>
              </w:rPr>
            </w:pPr>
            <w:r w:rsidRPr="008B39E1">
              <w:rPr>
                <w:rFonts w:ascii="Times New Roman" w:hAnsi="Times New Roman" w:cs="Times New Roman"/>
              </w:rPr>
              <w:t xml:space="preserve">Ineffectiveness resulting from </w:t>
            </w:r>
            <w:r w:rsidR="003C11F0" w:rsidRPr="008B39E1">
              <w:rPr>
                <w:rFonts w:ascii="Times New Roman" w:hAnsi="Times New Roman" w:cs="Times New Roman"/>
              </w:rPr>
              <w:t xml:space="preserve">weaknesses that are </w:t>
            </w:r>
            <w:r w:rsidRPr="008B39E1">
              <w:rPr>
                <w:rFonts w:ascii="Times New Roman" w:hAnsi="Times New Roman" w:cs="Times New Roman"/>
              </w:rPr>
              <w:t xml:space="preserve">both Entity-Level and Account-Specific </w:t>
            </w:r>
          </w:p>
        </w:tc>
        <w:tc>
          <w:tcPr>
            <w:tcW w:w="1093" w:type="pct"/>
            <w:vAlign w:val="bottom"/>
          </w:tcPr>
          <w:p w14:paraId="4343D949" w14:textId="38844733" w:rsidR="00AF19A3" w:rsidRPr="008B39E1" w:rsidRDefault="00AF19A3" w:rsidP="000F0F5A">
            <w:pPr>
              <w:jc w:val="center"/>
              <w:rPr>
                <w:rFonts w:ascii="Times New Roman" w:hAnsi="Times New Roman" w:cs="Times New Roman"/>
              </w:rPr>
            </w:pPr>
            <w:r w:rsidRPr="008B39E1">
              <w:rPr>
                <w:rFonts w:ascii="Times New Roman" w:hAnsi="Times New Roman" w:cs="Times New Roman"/>
              </w:rPr>
              <w:t>2922</w:t>
            </w:r>
          </w:p>
        </w:tc>
        <w:tc>
          <w:tcPr>
            <w:tcW w:w="1094" w:type="pct"/>
            <w:vAlign w:val="bottom"/>
          </w:tcPr>
          <w:p w14:paraId="1CF398FE" w14:textId="7CB59642" w:rsidR="00AF19A3" w:rsidRPr="008B39E1" w:rsidRDefault="00AF19A3" w:rsidP="000F0F5A">
            <w:pPr>
              <w:jc w:val="center"/>
              <w:rPr>
                <w:rFonts w:ascii="Times New Roman" w:hAnsi="Times New Roman" w:cs="Times New Roman"/>
              </w:rPr>
            </w:pPr>
            <w:r w:rsidRPr="008B39E1">
              <w:rPr>
                <w:rFonts w:ascii="Times New Roman" w:hAnsi="Times New Roman" w:cs="Times New Roman"/>
              </w:rPr>
              <w:t>654</w:t>
            </w:r>
          </w:p>
        </w:tc>
      </w:tr>
      <w:tr w:rsidR="00AF19A3" w:rsidRPr="008B39E1" w14:paraId="2336E396" w14:textId="77777777" w:rsidTr="00A74752">
        <w:tc>
          <w:tcPr>
            <w:tcW w:w="2813" w:type="pct"/>
          </w:tcPr>
          <w:p w14:paraId="7B1962BB" w14:textId="2FA73676" w:rsidR="00AF19A3" w:rsidRPr="008B39E1" w:rsidRDefault="00AF19A3" w:rsidP="000F0F5A">
            <w:pPr>
              <w:rPr>
                <w:rFonts w:ascii="Times New Roman" w:hAnsi="Times New Roman" w:cs="Times New Roman"/>
              </w:rPr>
            </w:pPr>
          </w:p>
        </w:tc>
        <w:tc>
          <w:tcPr>
            <w:tcW w:w="1093" w:type="pct"/>
            <w:vAlign w:val="bottom"/>
          </w:tcPr>
          <w:p w14:paraId="17ED9892" w14:textId="3CE10ECE" w:rsidR="00AF19A3" w:rsidRPr="008B39E1" w:rsidRDefault="00AF19A3" w:rsidP="000F0F5A">
            <w:pPr>
              <w:jc w:val="center"/>
              <w:rPr>
                <w:rFonts w:ascii="Times New Roman" w:hAnsi="Times New Roman" w:cs="Times New Roman"/>
              </w:rPr>
            </w:pPr>
          </w:p>
        </w:tc>
        <w:tc>
          <w:tcPr>
            <w:tcW w:w="1094" w:type="pct"/>
            <w:vAlign w:val="bottom"/>
          </w:tcPr>
          <w:p w14:paraId="1102DD9A" w14:textId="2101C8AF" w:rsidR="00AF19A3" w:rsidRPr="008B39E1" w:rsidRDefault="00AF19A3" w:rsidP="000F0F5A">
            <w:pPr>
              <w:jc w:val="center"/>
              <w:rPr>
                <w:rFonts w:ascii="Times New Roman" w:hAnsi="Times New Roman" w:cs="Times New Roman"/>
              </w:rPr>
            </w:pPr>
          </w:p>
        </w:tc>
      </w:tr>
      <w:tr w:rsidR="00AF19A3" w:rsidRPr="008B39E1" w14:paraId="5F9F8BA1" w14:textId="77777777" w:rsidTr="00A74752">
        <w:tc>
          <w:tcPr>
            <w:tcW w:w="2813" w:type="pct"/>
          </w:tcPr>
          <w:p w14:paraId="08087551" w14:textId="77777777" w:rsidR="00AF19A3" w:rsidRPr="008B39E1" w:rsidRDefault="00AF19A3" w:rsidP="000F0F5A">
            <w:pPr>
              <w:rPr>
                <w:rFonts w:ascii="Times New Roman" w:hAnsi="Times New Roman" w:cs="Times New Roman"/>
              </w:rPr>
            </w:pPr>
          </w:p>
        </w:tc>
        <w:tc>
          <w:tcPr>
            <w:tcW w:w="1093" w:type="pct"/>
            <w:vAlign w:val="bottom"/>
          </w:tcPr>
          <w:p w14:paraId="478963E4" w14:textId="77777777" w:rsidR="00AF19A3" w:rsidRPr="008B39E1" w:rsidRDefault="00AF19A3" w:rsidP="000F0F5A">
            <w:pPr>
              <w:jc w:val="center"/>
              <w:rPr>
                <w:rFonts w:ascii="Times New Roman" w:hAnsi="Times New Roman" w:cs="Times New Roman"/>
              </w:rPr>
            </w:pPr>
          </w:p>
        </w:tc>
        <w:tc>
          <w:tcPr>
            <w:tcW w:w="1094" w:type="pct"/>
            <w:vAlign w:val="bottom"/>
          </w:tcPr>
          <w:p w14:paraId="7CC9F5E5" w14:textId="77777777" w:rsidR="00AF19A3" w:rsidRPr="008B39E1" w:rsidRDefault="00AF19A3" w:rsidP="000F0F5A">
            <w:pPr>
              <w:jc w:val="center"/>
              <w:rPr>
                <w:rFonts w:ascii="Times New Roman" w:hAnsi="Times New Roman" w:cs="Times New Roman"/>
              </w:rPr>
            </w:pPr>
          </w:p>
        </w:tc>
      </w:tr>
      <w:tr w:rsidR="00AF19A3" w:rsidRPr="008B39E1" w14:paraId="28C49A5B" w14:textId="77777777" w:rsidTr="00A74752">
        <w:tc>
          <w:tcPr>
            <w:tcW w:w="2813" w:type="pct"/>
          </w:tcPr>
          <w:p w14:paraId="69060B6E" w14:textId="713812C5" w:rsidR="00AF19A3" w:rsidRPr="008B39E1" w:rsidRDefault="00AF19A3" w:rsidP="000F0F5A">
            <w:pPr>
              <w:rPr>
                <w:rFonts w:ascii="Times New Roman" w:hAnsi="Times New Roman" w:cs="Times New Roman"/>
              </w:rPr>
            </w:pPr>
            <w:r w:rsidRPr="008B39E1">
              <w:rPr>
                <w:rFonts w:ascii="Times New Roman" w:hAnsi="Times New Roman" w:cs="Times New Roman"/>
              </w:rPr>
              <w:t>Procedural internal control weaknesses</w:t>
            </w:r>
          </w:p>
        </w:tc>
        <w:tc>
          <w:tcPr>
            <w:tcW w:w="1093" w:type="pct"/>
            <w:vAlign w:val="bottom"/>
          </w:tcPr>
          <w:p w14:paraId="27F171E0" w14:textId="5D5C3EA7" w:rsidR="00AF19A3" w:rsidRPr="008B39E1" w:rsidRDefault="00AF19A3" w:rsidP="000F0F5A">
            <w:pPr>
              <w:jc w:val="center"/>
              <w:rPr>
                <w:rFonts w:ascii="Times New Roman" w:hAnsi="Times New Roman" w:cs="Times New Roman"/>
              </w:rPr>
            </w:pPr>
            <w:r w:rsidRPr="008B39E1">
              <w:rPr>
                <w:rFonts w:ascii="Times New Roman" w:hAnsi="Times New Roman" w:cs="Times New Roman"/>
              </w:rPr>
              <w:t>3</w:t>
            </w:r>
            <w:r w:rsidR="006C37C1" w:rsidRPr="008B39E1">
              <w:rPr>
                <w:rFonts w:ascii="Times New Roman" w:hAnsi="Times New Roman" w:cs="Times New Roman"/>
              </w:rPr>
              <w:t>,</w:t>
            </w:r>
            <w:r w:rsidRPr="008B39E1">
              <w:rPr>
                <w:rFonts w:ascii="Times New Roman" w:hAnsi="Times New Roman" w:cs="Times New Roman"/>
              </w:rPr>
              <w:t>075</w:t>
            </w:r>
          </w:p>
        </w:tc>
        <w:tc>
          <w:tcPr>
            <w:tcW w:w="1094" w:type="pct"/>
            <w:vAlign w:val="bottom"/>
          </w:tcPr>
          <w:p w14:paraId="74AA5BF7" w14:textId="0E7CB14E" w:rsidR="00AF19A3" w:rsidRPr="008B39E1" w:rsidRDefault="00AF19A3" w:rsidP="000F0F5A">
            <w:pPr>
              <w:jc w:val="center"/>
              <w:rPr>
                <w:rFonts w:ascii="Times New Roman" w:hAnsi="Times New Roman" w:cs="Times New Roman"/>
              </w:rPr>
            </w:pPr>
            <w:r w:rsidRPr="008B39E1">
              <w:rPr>
                <w:rFonts w:ascii="Times New Roman" w:hAnsi="Times New Roman" w:cs="Times New Roman"/>
              </w:rPr>
              <w:t>501</w:t>
            </w:r>
          </w:p>
        </w:tc>
      </w:tr>
      <w:tr w:rsidR="00AF19A3" w:rsidRPr="008B39E1" w14:paraId="0949C452" w14:textId="77777777" w:rsidTr="00A74752">
        <w:tc>
          <w:tcPr>
            <w:tcW w:w="2813" w:type="pct"/>
          </w:tcPr>
          <w:p w14:paraId="72C26D65" w14:textId="2A771F37" w:rsidR="00AF19A3" w:rsidRPr="008B39E1" w:rsidRDefault="00AF19A3" w:rsidP="000F0F5A">
            <w:pPr>
              <w:rPr>
                <w:rFonts w:ascii="Times New Roman" w:hAnsi="Times New Roman" w:cs="Times New Roman"/>
              </w:rPr>
            </w:pPr>
            <w:r w:rsidRPr="008B39E1">
              <w:rPr>
                <w:rFonts w:ascii="Times New Roman" w:hAnsi="Times New Roman" w:cs="Times New Roman"/>
              </w:rPr>
              <w:t>Non-Procedural (employee-dependent) internal controls weaknesses</w:t>
            </w:r>
          </w:p>
        </w:tc>
        <w:tc>
          <w:tcPr>
            <w:tcW w:w="1093" w:type="pct"/>
            <w:vAlign w:val="bottom"/>
          </w:tcPr>
          <w:p w14:paraId="27EBC017" w14:textId="41AC9F7E" w:rsidR="00AF19A3" w:rsidRPr="008B39E1" w:rsidRDefault="00AF19A3" w:rsidP="000F0F5A">
            <w:pPr>
              <w:jc w:val="center"/>
              <w:rPr>
                <w:rFonts w:ascii="Times New Roman" w:hAnsi="Times New Roman" w:cs="Times New Roman"/>
              </w:rPr>
            </w:pPr>
            <w:r w:rsidRPr="008B39E1">
              <w:rPr>
                <w:rFonts w:ascii="Times New Roman" w:hAnsi="Times New Roman" w:cs="Times New Roman"/>
              </w:rPr>
              <w:t>3</w:t>
            </w:r>
            <w:r w:rsidR="006C37C1" w:rsidRPr="008B39E1">
              <w:rPr>
                <w:rFonts w:ascii="Times New Roman" w:hAnsi="Times New Roman" w:cs="Times New Roman"/>
              </w:rPr>
              <w:t>,</w:t>
            </w:r>
            <w:r w:rsidRPr="008B39E1">
              <w:rPr>
                <w:rFonts w:ascii="Times New Roman" w:hAnsi="Times New Roman" w:cs="Times New Roman"/>
              </w:rPr>
              <w:t>408</w:t>
            </w:r>
          </w:p>
        </w:tc>
        <w:tc>
          <w:tcPr>
            <w:tcW w:w="1094" w:type="pct"/>
            <w:vAlign w:val="bottom"/>
          </w:tcPr>
          <w:p w14:paraId="1A350AB3" w14:textId="126B17C7" w:rsidR="00AF19A3" w:rsidRPr="008B39E1" w:rsidRDefault="00AF19A3" w:rsidP="000F0F5A">
            <w:pPr>
              <w:jc w:val="center"/>
              <w:rPr>
                <w:rFonts w:ascii="Times New Roman" w:hAnsi="Times New Roman" w:cs="Times New Roman"/>
              </w:rPr>
            </w:pPr>
            <w:r w:rsidRPr="008B39E1">
              <w:rPr>
                <w:rFonts w:ascii="Times New Roman" w:hAnsi="Times New Roman" w:cs="Times New Roman"/>
              </w:rPr>
              <w:t>168</w:t>
            </w:r>
          </w:p>
        </w:tc>
      </w:tr>
      <w:tr w:rsidR="00AF19A3" w:rsidRPr="008B39E1" w14:paraId="6EA27C1E" w14:textId="77777777" w:rsidTr="00AF19A3">
        <w:tc>
          <w:tcPr>
            <w:tcW w:w="2813" w:type="pct"/>
          </w:tcPr>
          <w:p w14:paraId="681858B1" w14:textId="6931A423" w:rsidR="00AF19A3" w:rsidRPr="008B39E1" w:rsidRDefault="00AF19A3" w:rsidP="000F0F5A">
            <w:pPr>
              <w:rPr>
                <w:rFonts w:ascii="Times New Roman" w:hAnsi="Times New Roman" w:cs="Times New Roman"/>
              </w:rPr>
            </w:pPr>
            <w:r w:rsidRPr="008B39E1">
              <w:rPr>
                <w:rFonts w:ascii="Times New Roman" w:hAnsi="Times New Roman" w:cs="Times New Roman"/>
              </w:rPr>
              <w:t>N</w:t>
            </w:r>
          </w:p>
        </w:tc>
        <w:tc>
          <w:tcPr>
            <w:tcW w:w="2187" w:type="pct"/>
            <w:gridSpan w:val="2"/>
            <w:vAlign w:val="bottom"/>
          </w:tcPr>
          <w:p w14:paraId="3274EC89" w14:textId="15D5A742" w:rsidR="00AF19A3" w:rsidRPr="008B39E1" w:rsidRDefault="00AF19A3" w:rsidP="000F0F5A">
            <w:pPr>
              <w:jc w:val="center"/>
              <w:rPr>
                <w:rFonts w:ascii="Times New Roman" w:hAnsi="Times New Roman" w:cs="Times New Roman"/>
              </w:rPr>
            </w:pPr>
            <w:r w:rsidRPr="008B39E1">
              <w:rPr>
                <w:rFonts w:ascii="Times New Roman" w:hAnsi="Times New Roman" w:cs="Times New Roman"/>
              </w:rPr>
              <w:t>3576</w:t>
            </w:r>
          </w:p>
        </w:tc>
      </w:tr>
    </w:tbl>
    <w:p w14:paraId="0383C60C" w14:textId="72911D72" w:rsidR="00120278" w:rsidRPr="008B39E1" w:rsidRDefault="00120278" w:rsidP="000F0F5A">
      <w:pPr>
        <w:spacing w:after="0" w:line="240" w:lineRule="auto"/>
        <w:rPr>
          <w:rFonts w:ascii="Times New Roman" w:hAnsi="Times New Roman" w:cs="Times New Roman"/>
        </w:rPr>
      </w:pPr>
    </w:p>
    <w:p w14:paraId="44238272" w14:textId="77777777" w:rsidR="00120278" w:rsidRPr="008B39E1" w:rsidRDefault="00120278" w:rsidP="000F0F5A">
      <w:pPr>
        <w:spacing w:after="0" w:line="240" w:lineRule="auto"/>
        <w:rPr>
          <w:rFonts w:ascii="Times New Roman" w:hAnsi="Times New Roman" w:cs="Times New Roman"/>
          <w:sz w:val="24"/>
          <w:szCs w:val="24"/>
        </w:rPr>
      </w:pPr>
    </w:p>
    <w:p w14:paraId="51F0CCC3" w14:textId="5BB2A69C" w:rsidR="00576C11" w:rsidRPr="008B39E1" w:rsidRDefault="00054351"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  </w:t>
      </w:r>
      <w:r w:rsidR="00576C11" w:rsidRPr="008B39E1">
        <w:rPr>
          <w:rFonts w:ascii="Times New Roman" w:hAnsi="Times New Roman" w:cs="Times New Roman"/>
          <w:b/>
          <w:bCs/>
          <w:sz w:val="24"/>
          <w:szCs w:val="24"/>
        </w:rPr>
        <w:t xml:space="preserve">Panel </w:t>
      </w:r>
      <w:r w:rsidR="003F07AA" w:rsidRPr="008B39E1">
        <w:rPr>
          <w:rFonts w:ascii="Times New Roman" w:hAnsi="Times New Roman" w:cs="Times New Roman"/>
          <w:b/>
          <w:bCs/>
          <w:sz w:val="24"/>
          <w:szCs w:val="24"/>
        </w:rPr>
        <w:t>B</w:t>
      </w:r>
      <w:r w:rsidR="00576C11" w:rsidRPr="008B39E1">
        <w:rPr>
          <w:rFonts w:ascii="Times New Roman" w:hAnsi="Times New Roman" w:cs="Times New Roman"/>
          <w:b/>
          <w:bCs/>
          <w:sz w:val="24"/>
          <w:szCs w:val="24"/>
        </w:rPr>
        <w:t xml:space="preserve">: </w:t>
      </w:r>
      <w:r w:rsidR="007A0022" w:rsidRPr="008B39E1">
        <w:rPr>
          <w:rFonts w:ascii="Times New Roman" w:hAnsi="Times New Roman" w:cs="Times New Roman"/>
          <w:b/>
          <w:bCs/>
          <w:sz w:val="24"/>
          <w:szCs w:val="24"/>
        </w:rPr>
        <w:t xml:space="preserve">Frequency of Internal Control Ineffectiveness </w:t>
      </w:r>
      <w:r w:rsidR="004B2604" w:rsidRPr="008B39E1">
        <w:rPr>
          <w:rFonts w:ascii="Times New Roman" w:hAnsi="Times New Roman" w:cs="Times New Roman"/>
          <w:b/>
          <w:bCs/>
          <w:sz w:val="24"/>
          <w:szCs w:val="24"/>
        </w:rPr>
        <w:t>by Post and Social Capital Change</w:t>
      </w:r>
    </w:p>
    <w:p w14:paraId="1DEC39D8" w14:textId="77777777" w:rsidR="00576C11" w:rsidRPr="008B39E1" w:rsidRDefault="00576C11" w:rsidP="000F0F5A">
      <w:pPr>
        <w:spacing w:after="0" w:line="240" w:lineRule="auto"/>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3"/>
        <w:gridCol w:w="1623"/>
        <w:gridCol w:w="1526"/>
        <w:gridCol w:w="2074"/>
        <w:gridCol w:w="2074"/>
      </w:tblGrid>
      <w:tr w:rsidR="00851880" w:rsidRPr="008B39E1" w14:paraId="1BDB2AFA" w14:textId="658AB323" w:rsidTr="00E4397E">
        <w:trPr>
          <w:trHeight w:val="315"/>
        </w:trPr>
        <w:tc>
          <w:tcPr>
            <w:tcW w:w="1098" w:type="pct"/>
            <w:shd w:val="clear" w:color="auto" w:fill="auto"/>
            <w:noWrap/>
            <w:vAlign w:val="center"/>
            <w:hideMark/>
          </w:tcPr>
          <w:p w14:paraId="69A3C2DC" w14:textId="7EF66CC6" w:rsidR="00851880" w:rsidRPr="008B39E1" w:rsidRDefault="00851880" w:rsidP="000F0F5A">
            <w:pPr>
              <w:spacing w:after="0" w:line="240" w:lineRule="auto"/>
              <w:rPr>
                <w:rFonts w:ascii="Times New Roman" w:eastAsia="Times New Roman" w:hAnsi="Times New Roman" w:cs="Times New Roman"/>
                <w:color w:val="000000"/>
              </w:rPr>
            </w:pPr>
          </w:p>
        </w:tc>
        <w:tc>
          <w:tcPr>
            <w:tcW w:w="868" w:type="pct"/>
            <w:shd w:val="clear" w:color="auto" w:fill="auto"/>
            <w:noWrap/>
            <w:vAlign w:val="center"/>
            <w:hideMark/>
          </w:tcPr>
          <w:p w14:paraId="4A775E45" w14:textId="77777777" w:rsidR="00851880" w:rsidRPr="008B39E1" w:rsidRDefault="00851880"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Post = 0</w:t>
            </w:r>
          </w:p>
        </w:tc>
        <w:tc>
          <w:tcPr>
            <w:tcW w:w="816" w:type="pct"/>
            <w:shd w:val="clear" w:color="auto" w:fill="auto"/>
            <w:noWrap/>
            <w:vAlign w:val="center"/>
            <w:hideMark/>
          </w:tcPr>
          <w:p w14:paraId="60684991" w14:textId="77777777" w:rsidR="00851880" w:rsidRPr="008B39E1" w:rsidRDefault="00851880"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Post =1</w:t>
            </w:r>
          </w:p>
        </w:tc>
        <w:tc>
          <w:tcPr>
            <w:tcW w:w="1109" w:type="pct"/>
            <w:vAlign w:val="center"/>
          </w:tcPr>
          <w:p w14:paraId="527983EE" w14:textId="32E34470" w:rsidR="00851880" w:rsidRPr="008B39E1" w:rsidRDefault="00E4397E" w:rsidP="000F0F5A">
            <w:pPr>
              <w:spacing w:after="0" w:line="240" w:lineRule="auto"/>
              <w:jc w:val="center"/>
              <w:rPr>
                <w:rFonts w:ascii="Times New Roman" w:eastAsia="Times New Roman" w:hAnsi="Times New Roman" w:cs="Times New Roman"/>
                <w:color w:val="000000"/>
              </w:rPr>
            </w:pPr>
            <w:proofErr w:type="spellStart"/>
            <w:r w:rsidRPr="008B39E1">
              <w:rPr>
                <w:rFonts w:ascii="Times New Roman" w:eastAsia="Times New Roman" w:hAnsi="Times New Roman" w:cs="Times New Roman"/>
                <w:color w:val="000000"/>
              </w:rPr>
              <w:t>C</w:t>
            </w:r>
            <w:r w:rsidR="004F56A3" w:rsidRPr="008B39E1">
              <w:rPr>
                <w:rFonts w:ascii="Times New Roman" w:eastAsia="Times New Roman" w:hAnsi="Times New Roman" w:cs="Times New Roman"/>
                <w:color w:val="000000"/>
              </w:rPr>
              <w:t>H</w:t>
            </w:r>
            <w:r w:rsidRPr="008B39E1">
              <w:rPr>
                <w:rFonts w:ascii="Times New Roman" w:eastAsia="Times New Roman" w:hAnsi="Times New Roman" w:cs="Times New Roman"/>
                <w:color w:val="000000"/>
              </w:rPr>
              <w:t>SC</w:t>
            </w:r>
            <w:proofErr w:type="spellEnd"/>
            <w:r w:rsidRPr="008B39E1">
              <w:rPr>
                <w:rFonts w:ascii="Times New Roman" w:eastAsia="Times New Roman" w:hAnsi="Times New Roman" w:cs="Times New Roman"/>
                <w:color w:val="000000"/>
              </w:rPr>
              <w:t xml:space="preserve"> = 0</w:t>
            </w:r>
          </w:p>
        </w:tc>
        <w:tc>
          <w:tcPr>
            <w:tcW w:w="1109" w:type="pct"/>
            <w:vAlign w:val="center"/>
          </w:tcPr>
          <w:p w14:paraId="15074120" w14:textId="4F990A34" w:rsidR="00851880" w:rsidRPr="008B39E1" w:rsidRDefault="00E4397E" w:rsidP="000F0F5A">
            <w:pPr>
              <w:spacing w:after="0" w:line="240" w:lineRule="auto"/>
              <w:jc w:val="center"/>
              <w:rPr>
                <w:rFonts w:ascii="Times New Roman" w:eastAsia="Times New Roman" w:hAnsi="Times New Roman" w:cs="Times New Roman"/>
                <w:color w:val="000000"/>
              </w:rPr>
            </w:pPr>
            <w:proofErr w:type="spellStart"/>
            <w:r w:rsidRPr="008B39E1">
              <w:rPr>
                <w:rFonts w:ascii="Times New Roman" w:eastAsia="Times New Roman" w:hAnsi="Times New Roman" w:cs="Times New Roman"/>
                <w:color w:val="000000"/>
              </w:rPr>
              <w:t>C</w:t>
            </w:r>
            <w:r w:rsidR="004F56A3" w:rsidRPr="008B39E1">
              <w:rPr>
                <w:rFonts w:ascii="Times New Roman" w:eastAsia="Times New Roman" w:hAnsi="Times New Roman" w:cs="Times New Roman"/>
                <w:color w:val="000000"/>
              </w:rPr>
              <w:t>H</w:t>
            </w:r>
            <w:r w:rsidRPr="008B39E1">
              <w:rPr>
                <w:rFonts w:ascii="Times New Roman" w:eastAsia="Times New Roman" w:hAnsi="Times New Roman" w:cs="Times New Roman"/>
                <w:color w:val="000000"/>
              </w:rPr>
              <w:t>SC</w:t>
            </w:r>
            <w:proofErr w:type="spellEnd"/>
            <w:r w:rsidRPr="008B39E1">
              <w:rPr>
                <w:rFonts w:ascii="Times New Roman" w:eastAsia="Times New Roman" w:hAnsi="Times New Roman" w:cs="Times New Roman"/>
                <w:color w:val="000000"/>
              </w:rPr>
              <w:t xml:space="preserve"> = 1</w:t>
            </w:r>
          </w:p>
        </w:tc>
      </w:tr>
      <w:tr w:rsidR="00851880" w:rsidRPr="008B39E1" w14:paraId="605C4483" w14:textId="3F8E2437" w:rsidTr="00E4397E">
        <w:trPr>
          <w:trHeight w:val="315"/>
        </w:trPr>
        <w:tc>
          <w:tcPr>
            <w:tcW w:w="1098" w:type="pct"/>
            <w:shd w:val="clear" w:color="auto" w:fill="auto"/>
            <w:noWrap/>
            <w:vAlign w:val="center"/>
            <w:hideMark/>
          </w:tcPr>
          <w:p w14:paraId="420C707E" w14:textId="539A9310" w:rsidR="00851880" w:rsidRPr="008B39E1" w:rsidRDefault="00AF19A3" w:rsidP="000F0F5A">
            <w:pPr>
              <w:spacing w:after="0" w:line="240" w:lineRule="auto"/>
              <w:rPr>
                <w:rFonts w:ascii="Times New Roman" w:eastAsia="Times New Roman" w:hAnsi="Times New Roman" w:cs="Times New Roman"/>
                <w:color w:val="000000"/>
              </w:rPr>
            </w:pPr>
            <w:proofErr w:type="spellStart"/>
            <w:r w:rsidRPr="008B39E1">
              <w:rPr>
                <w:rFonts w:ascii="Times New Roman" w:eastAsia="Times New Roman" w:hAnsi="Times New Roman" w:cs="Times New Roman"/>
                <w:color w:val="000000"/>
              </w:rPr>
              <w:t>ICINEFF</w:t>
            </w:r>
            <w:proofErr w:type="spellEnd"/>
            <w:r w:rsidRPr="008B39E1">
              <w:rPr>
                <w:rFonts w:ascii="Times New Roman" w:eastAsia="Times New Roman" w:hAnsi="Times New Roman" w:cs="Times New Roman"/>
                <w:color w:val="000000"/>
              </w:rPr>
              <w:t xml:space="preserve"> </w:t>
            </w:r>
            <w:r w:rsidR="00851880" w:rsidRPr="008B39E1">
              <w:rPr>
                <w:rFonts w:ascii="Times New Roman" w:eastAsia="Times New Roman" w:hAnsi="Times New Roman" w:cs="Times New Roman"/>
                <w:color w:val="000000"/>
              </w:rPr>
              <w:t>= 0</w:t>
            </w:r>
          </w:p>
        </w:tc>
        <w:tc>
          <w:tcPr>
            <w:tcW w:w="868" w:type="pct"/>
            <w:shd w:val="clear" w:color="auto" w:fill="auto"/>
            <w:noWrap/>
            <w:vAlign w:val="center"/>
            <w:hideMark/>
          </w:tcPr>
          <w:p w14:paraId="72446A09" w14:textId="77777777" w:rsidR="00851880" w:rsidRPr="008B39E1" w:rsidRDefault="00851880"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722</w:t>
            </w:r>
          </w:p>
        </w:tc>
        <w:tc>
          <w:tcPr>
            <w:tcW w:w="816" w:type="pct"/>
            <w:shd w:val="clear" w:color="auto" w:fill="auto"/>
            <w:noWrap/>
            <w:vAlign w:val="center"/>
            <w:hideMark/>
          </w:tcPr>
          <w:p w14:paraId="45A4DA6C" w14:textId="77777777" w:rsidR="00851880" w:rsidRPr="008B39E1" w:rsidRDefault="00851880"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697</w:t>
            </w:r>
          </w:p>
        </w:tc>
        <w:tc>
          <w:tcPr>
            <w:tcW w:w="1109" w:type="pct"/>
            <w:vAlign w:val="center"/>
          </w:tcPr>
          <w:p w14:paraId="05107B89" w14:textId="2113BB6D" w:rsidR="00851880" w:rsidRPr="008B39E1" w:rsidRDefault="002E12F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765</w:t>
            </w:r>
          </w:p>
        </w:tc>
        <w:tc>
          <w:tcPr>
            <w:tcW w:w="1109" w:type="pct"/>
            <w:vAlign w:val="center"/>
          </w:tcPr>
          <w:p w14:paraId="4B1018F0" w14:textId="20E46F9B" w:rsidR="00851880" w:rsidRPr="008B39E1" w:rsidRDefault="002E12F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654</w:t>
            </w:r>
          </w:p>
        </w:tc>
      </w:tr>
      <w:tr w:rsidR="00851880" w:rsidRPr="008B39E1" w14:paraId="5E6F2EB4" w14:textId="26B1339B" w:rsidTr="00E4397E">
        <w:trPr>
          <w:trHeight w:val="315"/>
        </w:trPr>
        <w:tc>
          <w:tcPr>
            <w:tcW w:w="1098" w:type="pct"/>
            <w:shd w:val="clear" w:color="auto" w:fill="auto"/>
            <w:noWrap/>
            <w:vAlign w:val="center"/>
            <w:hideMark/>
          </w:tcPr>
          <w:p w14:paraId="4EBD4947" w14:textId="6C08A513" w:rsidR="00851880" w:rsidRPr="008B39E1" w:rsidRDefault="00AF19A3" w:rsidP="000F0F5A">
            <w:pPr>
              <w:spacing w:after="0" w:line="240" w:lineRule="auto"/>
              <w:rPr>
                <w:rFonts w:ascii="Times New Roman" w:eastAsia="Times New Roman" w:hAnsi="Times New Roman" w:cs="Times New Roman"/>
                <w:color w:val="000000"/>
              </w:rPr>
            </w:pPr>
            <w:proofErr w:type="spellStart"/>
            <w:r w:rsidRPr="008B39E1">
              <w:rPr>
                <w:rFonts w:ascii="Times New Roman" w:eastAsia="Times New Roman" w:hAnsi="Times New Roman" w:cs="Times New Roman"/>
                <w:color w:val="000000"/>
              </w:rPr>
              <w:t>ICINEFF</w:t>
            </w:r>
            <w:proofErr w:type="spellEnd"/>
            <w:r w:rsidRPr="008B39E1">
              <w:rPr>
                <w:rFonts w:ascii="Times New Roman" w:eastAsia="Times New Roman" w:hAnsi="Times New Roman" w:cs="Times New Roman"/>
                <w:color w:val="000000"/>
              </w:rPr>
              <w:t xml:space="preserve"> </w:t>
            </w:r>
            <w:r w:rsidR="00851880" w:rsidRPr="008B39E1">
              <w:rPr>
                <w:rFonts w:ascii="Times New Roman" w:eastAsia="Times New Roman" w:hAnsi="Times New Roman" w:cs="Times New Roman"/>
                <w:color w:val="000000"/>
              </w:rPr>
              <w:t>= 1</w:t>
            </w:r>
          </w:p>
        </w:tc>
        <w:tc>
          <w:tcPr>
            <w:tcW w:w="868" w:type="pct"/>
            <w:shd w:val="clear" w:color="auto" w:fill="auto"/>
            <w:noWrap/>
            <w:vAlign w:val="center"/>
            <w:hideMark/>
          </w:tcPr>
          <w:p w14:paraId="4EB11404" w14:textId="77777777" w:rsidR="00851880" w:rsidRPr="008B39E1" w:rsidRDefault="00851880"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172</w:t>
            </w:r>
          </w:p>
        </w:tc>
        <w:tc>
          <w:tcPr>
            <w:tcW w:w="816" w:type="pct"/>
            <w:shd w:val="clear" w:color="auto" w:fill="auto"/>
            <w:noWrap/>
            <w:vAlign w:val="center"/>
            <w:hideMark/>
          </w:tcPr>
          <w:p w14:paraId="7A59B484" w14:textId="77777777" w:rsidR="00851880" w:rsidRPr="008B39E1" w:rsidRDefault="00851880"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197</w:t>
            </w:r>
          </w:p>
        </w:tc>
        <w:tc>
          <w:tcPr>
            <w:tcW w:w="1109" w:type="pct"/>
            <w:vAlign w:val="center"/>
          </w:tcPr>
          <w:p w14:paraId="6EFC3101" w14:textId="31636C0A" w:rsidR="00851880" w:rsidRPr="008B39E1" w:rsidRDefault="002E12F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161</w:t>
            </w:r>
          </w:p>
        </w:tc>
        <w:tc>
          <w:tcPr>
            <w:tcW w:w="1109" w:type="pct"/>
            <w:vAlign w:val="center"/>
          </w:tcPr>
          <w:p w14:paraId="77159227" w14:textId="4C4D9E2E" w:rsidR="00851880" w:rsidRPr="008B39E1" w:rsidRDefault="002E12F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208</w:t>
            </w:r>
          </w:p>
        </w:tc>
      </w:tr>
      <w:tr w:rsidR="00851880" w:rsidRPr="008B39E1" w14:paraId="31845E2E" w14:textId="27611AC1" w:rsidTr="00E4397E">
        <w:trPr>
          <w:trHeight w:val="315"/>
        </w:trPr>
        <w:tc>
          <w:tcPr>
            <w:tcW w:w="1098" w:type="pct"/>
            <w:shd w:val="clear" w:color="auto" w:fill="auto"/>
            <w:noWrap/>
            <w:vAlign w:val="center"/>
            <w:hideMark/>
          </w:tcPr>
          <w:p w14:paraId="6A5F87E1" w14:textId="77777777" w:rsidR="00851880" w:rsidRPr="008B39E1" w:rsidRDefault="00851880" w:rsidP="000F0F5A">
            <w:pPr>
              <w:spacing w:after="0" w:line="240" w:lineRule="auto"/>
              <w:rPr>
                <w:rFonts w:ascii="Times New Roman" w:eastAsia="Times New Roman" w:hAnsi="Times New Roman" w:cs="Times New Roman"/>
                <w:color w:val="000000"/>
              </w:rPr>
            </w:pPr>
            <w:r w:rsidRPr="008B39E1">
              <w:rPr>
                <w:rFonts w:ascii="Times New Roman" w:eastAsia="Times New Roman" w:hAnsi="Times New Roman" w:cs="Times New Roman"/>
                <w:color w:val="000000"/>
              </w:rPr>
              <w:t>Total</w:t>
            </w:r>
          </w:p>
        </w:tc>
        <w:tc>
          <w:tcPr>
            <w:tcW w:w="868" w:type="pct"/>
            <w:shd w:val="clear" w:color="auto" w:fill="auto"/>
            <w:noWrap/>
            <w:vAlign w:val="center"/>
            <w:hideMark/>
          </w:tcPr>
          <w:p w14:paraId="6DECB06E" w14:textId="77777777" w:rsidR="00851880" w:rsidRPr="008B39E1" w:rsidRDefault="00851880"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894</w:t>
            </w:r>
          </w:p>
        </w:tc>
        <w:tc>
          <w:tcPr>
            <w:tcW w:w="816" w:type="pct"/>
            <w:shd w:val="clear" w:color="auto" w:fill="auto"/>
            <w:noWrap/>
            <w:vAlign w:val="center"/>
            <w:hideMark/>
          </w:tcPr>
          <w:p w14:paraId="2C39692B" w14:textId="77777777" w:rsidR="00851880" w:rsidRPr="008B39E1" w:rsidRDefault="00851880"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894</w:t>
            </w:r>
          </w:p>
        </w:tc>
        <w:tc>
          <w:tcPr>
            <w:tcW w:w="1109" w:type="pct"/>
            <w:vAlign w:val="center"/>
          </w:tcPr>
          <w:p w14:paraId="509ABF78" w14:textId="2BD302DB" w:rsidR="00851880" w:rsidRPr="008B39E1" w:rsidRDefault="002E12F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926</w:t>
            </w:r>
          </w:p>
        </w:tc>
        <w:tc>
          <w:tcPr>
            <w:tcW w:w="1109" w:type="pct"/>
            <w:vAlign w:val="center"/>
          </w:tcPr>
          <w:p w14:paraId="534C2239" w14:textId="5C12D607" w:rsidR="00851880" w:rsidRPr="008B39E1" w:rsidRDefault="002E12F8"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862</w:t>
            </w:r>
          </w:p>
        </w:tc>
      </w:tr>
    </w:tbl>
    <w:p w14:paraId="34F0921D" w14:textId="77777777" w:rsidR="00474B1F" w:rsidRPr="008B39E1" w:rsidRDefault="00474B1F" w:rsidP="000F0F5A">
      <w:pPr>
        <w:spacing w:after="0" w:line="240" w:lineRule="auto"/>
        <w:rPr>
          <w:rFonts w:ascii="Times New Roman" w:hAnsi="Times New Roman" w:cs="Times New Roman"/>
          <w:b/>
          <w:bCs/>
          <w:sz w:val="24"/>
          <w:szCs w:val="24"/>
        </w:rPr>
      </w:pPr>
    </w:p>
    <w:p w14:paraId="09445E8D" w14:textId="77777777" w:rsidR="008B21BF" w:rsidRPr="008B39E1" w:rsidRDefault="008B21BF" w:rsidP="000F0F5A">
      <w:pPr>
        <w:spacing w:after="0" w:line="240" w:lineRule="auto"/>
        <w:jc w:val="right"/>
        <w:rPr>
          <w:rFonts w:ascii="Times New Roman" w:hAnsi="Times New Roman" w:cs="Times New Roman"/>
          <w:i/>
          <w:iCs/>
          <w:sz w:val="24"/>
          <w:szCs w:val="24"/>
        </w:rPr>
      </w:pPr>
      <w:r w:rsidRPr="008B39E1">
        <w:rPr>
          <w:rFonts w:ascii="Times New Roman" w:hAnsi="Times New Roman" w:cs="Times New Roman"/>
          <w:i/>
          <w:iCs/>
          <w:sz w:val="24"/>
          <w:szCs w:val="24"/>
        </w:rPr>
        <w:t>(Continued on next page)</w:t>
      </w:r>
    </w:p>
    <w:p w14:paraId="2972293B" w14:textId="6CDBDA3D" w:rsidR="00576C11" w:rsidRPr="008B39E1" w:rsidRDefault="00576C11" w:rsidP="000F0F5A">
      <w:pPr>
        <w:spacing w:line="240" w:lineRule="auto"/>
        <w:rPr>
          <w:rFonts w:ascii="Times New Roman" w:hAnsi="Times New Roman" w:cs="Times New Roman"/>
          <w:i/>
          <w:iCs/>
          <w:sz w:val="24"/>
          <w:szCs w:val="24"/>
        </w:rPr>
      </w:pPr>
    </w:p>
    <w:p w14:paraId="69F22B10" w14:textId="77777777" w:rsidR="00576C11" w:rsidRPr="008B39E1" w:rsidRDefault="00576C11"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br w:type="page"/>
      </w:r>
    </w:p>
    <w:p w14:paraId="4DE41AB0" w14:textId="77777777" w:rsidR="00B82704" w:rsidRPr="008B39E1" w:rsidRDefault="00B82704" w:rsidP="000F0F5A">
      <w:pPr>
        <w:spacing w:after="0" w:line="240" w:lineRule="auto"/>
        <w:rPr>
          <w:rFonts w:ascii="Times New Roman" w:hAnsi="Times New Roman" w:cs="Times New Roman"/>
          <w:i/>
          <w:iCs/>
          <w:sz w:val="24"/>
          <w:szCs w:val="24"/>
        </w:rPr>
        <w:sectPr w:rsidR="00B82704" w:rsidRPr="008B39E1" w:rsidSect="00B45FDC">
          <w:footerReference w:type="default" r:id="rId9"/>
          <w:footerReference w:type="first" r:id="rId10"/>
          <w:pgSz w:w="12240" w:h="15840"/>
          <w:pgMar w:top="1440" w:right="1440" w:bottom="1440" w:left="1440" w:header="720" w:footer="720" w:gutter="0"/>
          <w:cols w:space="720"/>
          <w:titlePg/>
          <w:docGrid w:linePitch="360"/>
        </w:sectPr>
      </w:pPr>
    </w:p>
    <w:p w14:paraId="0A6AF270" w14:textId="6B023937" w:rsidR="00576C11" w:rsidRPr="008B39E1" w:rsidRDefault="00576C11" w:rsidP="000F0F5A">
      <w:pPr>
        <w:spacing w:after="0" w:line="240" w:lineRule="auto"/>
        <w:rPr>
          <w:rFonts w:ascii="Times New Roman" w:hAnsi="Times New Roman" w:cs="Times New Roman"/>
          <w:i/>
          <w:iCs/>
          <w:sz w:val="24"/>
          <w:szCs w:val="24"/>
        </w:rPr>
      </w:pPr>
      <w:r w:rsidRPr="008B39E1">
        <w:rPr>
          <w:rFonts w:ascii="Times New Roman" w:hAnsi="Times New Roman" w:cs="Times New Roman"/>
          <w:i/>
          <w:iCs/>
          <w:sz w:val="24"/>
          <w:szCs w:val="24"/>
        </w:rPr>
        <w:lastRenderedPageBreak/>
        <w:t>(</w:t>
      </w:r>
      <w:r w:rsidR="00DC55B9" w:rsidRPr="008B39E1">
        <w:rPr>
          <w:rFonts w:ascii="Times New Roman" w:hAnsi="Times New Roman" w:cs="Times New Roman"/>
          <w:i/>
          <w:iCs/>
          <w:sz w:val="24"/>
          <w:szCs w:val="24"/>
        </w:rPr>
        <w:t>TABLE II</w:t>
      </w:r>
      <w:r w:rsidRPr="008B39E1">
        <w:rPr>
          <w:rFonts w:ascii="Times New Roman" w:hAnsi="Times New Roman" w:cs="Times New Roman"/>
          <w:i/>
          <w:iCs/>
          <w:sz w:val="24"/>
          <w:szCs w:val="24"/>
        </w:rPr>
        <w:t xml:space="preserve"> continued)</w:t>
      </w:r>
    </w:p>
    <w:p w14:paraId="43E35C33" w14:textId="77777777" w:rsidR="00576C11" w:rsidRPr="008B39E1" w:rsidRDefault="00576C11" w:rsidP="000F0F5A">
      <w:pPr>
        <w:spacing w:after="0" w:line="240" w:lineRule="auto"/>
        <w:rPr>
          <w:rFonts w:ascii="Times New Roman" w:hAnsi="Times New Roman" w:cs="Times New Roman"/>
          <w:b/>
          <w:bCs/>
          <w:sz w:val="24"/>
          <w:szCs w:val="24"/>
        </w:rPr>
      </w:pPr>
    </w:p>
    <w:p w14:paraId="0454DC22" w14:textId="2AD4D7E8" w:rsidR="00576C11" w:rsidRPr="008B39E1" w:rsidRDefault="00576C11"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Panel </w:t>
      </w:r>
      <w:r w:rsidR="00AE581B" w:rsidRPr="008B39E1">
        <w:rPr>
          <w:rFonts w:ascii="Times New Roman" w:hAnsi="Times New Roman" w:cs="Times New Roman"/>
          <w:b/>
          <w:bCs/>
          <w:sz w:val="24"/>
          <w:szCs w:val="24"/>
        </w:rPr>
        <w:t>C</w:t>
      </w:r>
      <w:r w:rsidRPr="008B39E1">
        <w:rPr>
          <w:rFonts w:ascii="Times New Roman" w:hAnsi="Times New Roman" w:cs="Times New Roman"/>
          <w:b/>
          <w:bCs/>
          <w:sz w:val="24"/>
          <w:szCs w:val="24"/>
        </w:rPr>
        <w:t xml:space="preserve">: Comparison </w:t>
      </w:r>
      <w:r w:rsidR="00AE581B" w:rsidRPr="008B39E1">
        <w:rPr>
          <w:rFonts w:ascii="Times New Roman" w:hAnsi="Times New Roman" w:cs="Times New Roman"/>
          <w:b/>
          <w:bCs/>
          <w:sz w:val="24"/>
          <w:szCs w:val="24"/>
        </w:rPr>
        <w:t xml:space="preserve">of </w:t>
      </w:r>
      <w:r w:rsidR="00CF4198" w:rsidRPr="008B39E1">
        <w:rPr>
          <w:rFonts w:ascii="Times New Roman" w:hAnsi="Times New Roman" w:cs="Times New Roman"/>
          <w:b/>
          <w:bCs/>
          <w:sz w:val="24"/>
          <w:szCs w:val="24"/>
        </w:rPr>
        <w:t xml:space="preserve">RELOCATE </w:t>
      </w:r>
      <w:r w:rsidR="00AE581B" w:rsidRPr="008B39E1">
        <w:rPr>
          <w:rFonts w:ascii="Times New Roman" w:hAnsi="Times New Roman" w:cs="Times New Roman"/>
          <w:b/>
          <w:bCs/>
          <w:sz w:val="24"/>
          <w:szCs w:val="24"/>
        </w:rPr>
        <w:t>and Control Samples</w:t>
      </w:r>
    </w:p>
    <w:tbl>
      <w:tblPr>
        <w:tblpPr w:leftFromText="180" w:rightFromText="180" w:vertAnchor="text" w:horzAnchor="margin" w:tblpY="12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039"/>
        <w:gridCol w:w="1041"/>
        <w:gridCol w:w="818"/>
        <w:gridCol w:w="1041"/>
        <w:gridCol w:w="741"/>
        <w:gridCol w:w="818"/>
        <w:gridCol w:w="1041"/>
        <w:gridCol w:w="818"/>
        <w:gridCol w:w="1041"/>
        <w:gridCol w:w="746"/>
        <w:gridCol w:w="1254"/>
      </w:tblGrid>
      <w:tr w:rsidR="00064BE0" w:rsidRPr="008B39E1" w14:paraId="2A144DCE" w14:textId="77777777" w:rsidTr="00777D90">
        <w:trPr>
          <w:trHeight w:val="330"/>
        </w:trPr>
        <w:tc>
          <w:tcPr>
            <w:tcW w:w="985" w:type="pct"/>
            <w:shd w:val="clear" w:color="auto" w:fill="auto"/>
            <w:noWrap/>
            <w:vAlign w:val="center"/>
            <w:hideMark/>
          </w:tcPr>
          <w:p w14:paraId="468DC264" w14:textId="77777777" w:rsidR="00D36023" w:rsidRPr="008B39E1" w:rsidRDefault="00D36023" w:rsidP="000F0F5A">
            <w:pPr>
              <w:spacing w:after="0" w:line="240" w:lineRule="auto"/>
              <w:rPr>
                <w:rFonts w:ascii="Times New Roman" w:eastAsia="Times New Roman" w:hAnsi="Times New Roman" w:cs="Times New Roman"/>
                <w:color w:val="000000"/>
              </w:rPr>
            </w:pPr>
            <w:r w:rsidRPr="008B39E1">
              <w:rPr>
                <w:rFonts w:ascii="Times New Roman" w:eastAsia="Times New Roman" w:hAnsi="Times New Roman" w:cs="Times New Roman"/>
                <w:color w:val="000000"/>
              </w:rPr>
              <w:t> </w:t>
            </w:r>
          </w:p>
        </w:tc>
        <w:tc>
          <w:tcPr>
            <w:tcW w:w="1807" w:type="pct"/>
            <w:gridSpan w:val="5"/>
            <w:shd w:val="clear" w:color="auto" w:fill="auto"/>
            <w:noWrap/>
            <w:vAlign w:val="center"/>
            <w:hideMark/>
          </w:tcPr>
          <w:p w14:paraId="297F8B26" w14:textId="02EF5F8A" w:rsidR="00D36023" w:rsidRPr="008B39E1" w:rsidRDefault="000A5C1F" w:rsidP="000F0F5A">
            <w:pPr>
              <w:spacing w:after="0" w:line="240" w:lineRule="auto"/>
              <w:jc w:val="center"/>
              <w:rPr>
                <w:rFonts w:ascii="Times New Roman" w:eastAsia="Times New Roman" w:hAnsi="Times New Roman" w:cs="Times New Roman"/>
                <w:b/>
                <w:bCs/>
                <w:i/>
                <w:iCs/>
                <w:color w:val="000000"/>
              </w:rPr>
            </w:pPr>
            <w:r w:rsidRPr="008B39E1">
              <w:rPr>
                <w:rFonts w:ascii="Times New Roman" w:eastAsia="Times New Roman" w:hAnsi="Times New Roman" w:cs="Times New Roman"/>
                <w:b/>
                <w:bCs/>
                <w:i/>
                <w:iCs/>
                <w:color w:val="000000"/>
              </w:rPr>
              <w:t>Control</w:t>
            </w:r>
          </w:p>
        </w:tc>
        <w:tc>
          <w:tcPr>
            <w:tcW w:w="1724" w:type="pct"/>
            <w:gridSpan w:val="5"/>
            <w:shd w:val="clear" w:color="auto" w:fill="auto"/>
            <w:noWrap/>
            <w:vAlign w:val="center"/>
            <w:hideMark/>
          </w:tcPr>
          <w:p w14:paraId="6ADED6FF" w14:textId="426B9AD9" w:rsidR="00D36023" w:rsidRPr="008B39E1" w:rsidRDefault="00CF4198" w:rsidP="000F0F5A">
            <w:pPr>
              <w:spacing w:after="0" w:line="240" w:lineRule="auto"/>
              <w:jc w:val="center"/>
              <w:rPr>
                <w:rFonts w:ascii="Times New Roman" w:eastAsia="Times New Roman" w:hAnsi="Times New Roman" w:cs="Times New Roman"/>
                <w:b/>
                <w:bCs/>
                <w:i/>
                <w:iCs/>
                <w:color w:val="000000"/>
              </w:rPr>
            </w:pPr>
            <w:r w:rsidRPr="008B39E1">
              <w:rPr>
                <w:rFonts w:ascii="Times New Roman" w:eastAsia="Times New Roman" w:hAnsi="Times New Roman" w:cs="Times New Roman"/>
                <w:b/>
                <w:bCs/>
                <w:i/>
                <w:iCs/>
                <w:color w:val="000000"/>
              </w:rPr>
              <w:t>RELOCATE</w:t>
            </w:r>
          </w:p>
        </w:tc>
        <w:tc>
          <w:tcPr>
            <w:tcW w:w="484" w:type="pct"/>
            <w:vMerge w:val="restart"/>
            <w:vAlign w:val="center"/>
          </w:tcPr>
          <w:p w14:paraId="44F83D75" w14:textId="572A3428" w:rsidR="00D36023" w:rsidRPr="008B39E1" w:rsidRDefault="00E61D62" w:rsidP="000F0F5A">
            <w:pPr>
              <w:spacing w:after="0" w:line="240" w:lineRule="auto"/>
              <w:rPr>
                <w:rFonts w:ascii="Times New Roman" w:eastAsia="Times New Roman" w:hAnsi="Times New Roman" w:cs="Times New Roman"/>
                <w:b/>
                <w:bCs/>
                <w:i/>
                <w:iCs/>
                <w:color w:val="000000"/>
                <w:vertAlign w:val="superscript"/>
              </w:rPr>
            </w:pPr>
            <w:r w:rsidRPr="008B39E1">
              <w:rPr>
                <w:rFonts w:ascii="Times New Roman" w:eastAsia="Times New Roman" w:hAnsi="Times New Roman" w:cs="Times New Roman"/>
                <w:b/>
                <w:bCs/>
                <w:color w:val="000000"/>
              </w:rPr>
              <w:t>Difference in Means</w:t>
            </w:r>
          </w:p>
        </w:tc>
      </w:tr>
      <w:tr w:rsidR="00064BE0" w:rsidRPr="008B39E1" w14:paraId="24F00E31" w14:textId="77777777" w:rsidTr="00777D90">
        <w:trPr>
          <w:trHeight w:val="645"/>
        </w:trPr>
        <w:tc>
          <w:tcPr>
            <w:tcW w:w="985" w:type="pct"/>
            <w:shd w:val="clear" w:color="auto" w:fill="auto"/>
            <w:noWrap/>
            <w:vAlign w:val="center"/>
            <w:hideMark/>
          </w:tcPr>
          <w:p w14:paraId="67F9AE14" w14:textId="77777777" w:rsidR="00D36023" w:rsidRPr="008B39E1" w:rsidRDefault="00D36023" w:rsidP="000F0F5A">
            <w:pPr>
              <w:spacing w:after="0" w:line="240" w:lineRule="auto"/>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Variable</w:t>
            </w:r>
          </w:p>
        </w:tc>
        <w:tc>
          <w:tcPr>
            <w:tcW w:w="401" w:type="pct"/>
            <w:shd w:val="clear" w:color="auto" w:fill="auto"/>
            <w:noWrap/>
            <w:vAlign w:val="center"/>
            <w:hideMark/>
          </w:tcPr>
          <w:p w14:paraId="14ECEBF5" w14:textId="1F6A30BB" w:rsidR="00D36023" w:rsidRPr="008B39E1" w:rsidRDefault="00D36023" w:rsidP="000F0F5A">
            <w:pPr>
              <w:spacing w:after="0" w:line="240" w:lineRule="auto"/>
              <w:jc w:val="center"/>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Mean</w:t>
            </w:r>
          </w:p>
        </w:tc>
        <w:tc>
          <w:tcPr>
            <w:tcW w:w="402" w:type="pct"/>
          </w:tcPr>
          <w:p w14:paraId="23053E2C" w14:textId="28D07BDB" w:rsidR="00D36023" w:rsidRPr="008B39E1" w:rsidRDefault="00B11644" w:rsidP="000F0F5A">
            <w:pPr>
              <w:spacing w:after="0" w:line="240" w:lineRule="auto"/>
              <w:jc w:val="center"/>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25</w:t>
            </w:r>
            <w:r w:rsidRPr="008B39E1">
              <w:rPr>
                <w:rFonts w:ascii="Times New Roman" w:eastAsia="Times New Roman" w:hAnsi="Times New Roman" w:cs="Times New Roman"/>
                <w:b/>
                <w:bCs/>
                <w:color w:val="000000"/>
                <w:vertAlign w:val="superscript"/>
              </w:rPr>
              <w:t>th</w:t>
            </w:r>
            <w:r w:rsidRPr="008B39E1">
              <w:rPr>
                <w:rFonts w:ascii="Times New Roman" w:eastAsia="Times New Roman" w:hAnsi="Times New Roman" w:cs="Times New Roman"/>
                <w:b/>
                <w:bCs/>
                <w:color w:val="000000"/>
              </w:rPr>
              <w:t xml:space="preserve"> P</w:t>
            </w:r>
            <w:r w:rsidR="00064BE0" w:rsidRPr="008B39E1">
              <w:rPr>
                <w:rFonts w:ascii="Times New Roman" w:eastAsia="Times New Roman" w:hAnsi="Times New Roman" w:cs="Times New Roman"/>
                <w:b/>
                <w:bCs/>
                <w:color w:val="000000"/>
              </w:rPr>
              <w:t>ercent.</w:t>
            </w:r>
          </w:p>
        </w:tc>
        <w:tc>
          <w:tcPr>
            <w:tcW w:w="316" w:type="pct"/>
            <w:shd w:val="clear" w:color="auto" w:fill="auto"/>
            <w:noWrap/>
            <w:vAlign w:val="center"/>
            <w:hideMark/>
          </w:tcPr>
          <w:p w14:paraId="7FA57617" w14:textId="1469A567" w:rsidR="00D36023" w:rsidRPr="008B39E1" w:rsidRDefault="001D04FA" w:rsidP="000F0F5A">
            <w:pPr>
              <w:spacing w:after="0" w:line="240" w:lineRule="auto"/>
              <w:jc w:val="center"/>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Med.</w:t>
            </w:r>
          </w:p>
        </w:tc>
        <w:tc>
          <w:tcPr>
            <w:tcW w:w="402" w:type="pct"/>
          </w:tcPr>
          <w:p w14:paraId="228DED11" w14:textId="77DF3A19" w:rsidR="00D36023" w:rsidRPr="008B39E1" w:rsidRDefault="00B11644" w:rsidP="000F0F5A">
            <w:pPr>
              <w:spacing w:after="0" w:line="240" w:lineRule="auto"/>
              <w:jc w:val="center"/>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75</w:t>
            </w:r>
            <w:r w:rsidRPr="008B39E1">
              <w:rPr>
                <w:rFonts w:ascii="Times New Roman" w:eastAsia="Times New Roman" w:hAnsi="Times New Roman" w:cs="Times New Roman"/>
                <w:b/>
                <w:bCs/>
                <w:color w:val="000000"/>
                <w:vertAlign w:val="superscript"/>
              </w:rPr>
              <w:t>th</w:t>
            </w:r>
            <w:r w:rsidRPr="008B39E1">
              <w:rPr>
                <w:rFonts w:ascii="Times New Roman" w:eastAsia="Times New Roman" w:hAnsi="Times New Roman" w:cs="Times New Roman"/>
                <w:b/>
                <w:bCs/>
                <w:color w:val="000000"/>
              </w:rPr>
              <w:t xml:space="preserve"> Percent</w:t>
            </w:r>
            <w:r w:rsidR="00064BE0" w:rsidRPr="008B39E1">
              <w:rPr>
                <w:rFonts w:ascii="Times New Roman" w:eastAsia="Times New Roman" w:hAnsi="Times New Roman" w:cs="Times New Roman"/>
                <w:b/>
                <w:bCs/>
                <w:color w:val="000000"/>
              </w:rPr>
              <w:t>.</w:t>
            </w:r>
          </w:p>
        </w:tc>
        <w:tc>
          <w:tcPr>
            <w:tcW w:w="286" w:type="pct"/>
          </w:tcPr>
          <w:p w14:paraId="73280BDD" w14:textId="18DB199B" w:rsidR="00D36023" w:rsidRPr="008B39E1" w:rsidRDefault="00B11644" w:rsidP="000F0F5A">
            <w:pPr>
              <w:spacing w:after="0" w:line="240" w:lineRule="auto"/>
              <w:jc w:val="center"/>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Std.</w:t>
            </w:r>
            <w:r w:rsidR="00E61D62" w:rsidRPr="008B39E1">
              <w:rPr>
                <w:rFonts w:ascii="Times New Roman" w:eastAsia="Times New Roman" w:hAnsi="Times New Roman" w:cs="Times New Roman"/>
                <w:b/>
                <w:bCs/>
                <w:color w:val="000000"/>
              </w:rPr>
              <w:t xml:space="preserve"> Dev.</w:t>
            </w:r>
          </w:p>
        </w:tc>
        <w:tc>
          <w:tcPr>
            <w:tcW w:w="316" w:type="pct"/>
            <w:shd w:val="clear" w:color="auto" w:fill="auto"/>
            <w:noWrap/>
            <w:vAlign w:val="center"/>
            <w:hideMark/>
          </w:tcPr>
          <w:p w14:paraId="4DDB3B01" w14:textId="5C278ED1" w:rsidR="00D36023" w:rsidRPr="008B39E1" w:rsidRDefault="00E61D62" w:rsidP="000F0F5A">
            <w:pPr>
              <w:spacing w:after="0" w:line="240" w:lineRule="auto"/>
              <w:jc w:val="center"/>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Mean</w:t>
            </w:r>
          </w:p>
        </w:tc>
        <w:tc>
          <w:tcPr>
            <w:tcW w:w="402" w:type="pct"/>
          </w:tcPr>
          <w:p w14:paraId="3EC826BB" w14:textId="5984688A" w:rsidR="00D36023" w:rsidRPr="008B39E1" w:rsidRDefault="00E61D62" w:rsidP="000F0F5A">
            <w:pPr>
              <w:spacing w:after="0" w:line="240" w:lineRule="auto"/>
              <w:jc w:val="center"/>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25</w:t>
            </w:r>
            <w:r w:rsidRPr="008B39E1">
              <w:rPr>
                <w:rFonts w:ascii="Times New Roman" w:eastAsia="Times New Roman" w:hAnsi="Times New Roman" w:cs="Times New Roman"/>
                <w:b/>
                <w:bCs/>
                <w:color w:val="000000"/>
                <w:vertAlign w:val="superscript"/>
              </w:rPr>
              <w:t>th</w:t>
            </w:r>
            <w:r w:rsidRPr="008B39E1">
              <w:rPr>
                <w:rFonts w:ascii="Times New Roman" w:eastAsia="Times New Roman" w:hAnsi="Times New Roman" w:cs="Times New Roman"/>
                <w:b/>
                <w:bCs/>
                <w:color w:val="000000"/>
              </w:rPr>
              <w:t xml:space="preserve"> Percent</w:t>
            </w:r>
            <w:r w:rsidR="00064BE0" w:rsidRPr="008B39E1">
              <w:rPr>
                <w:rFonts w:ascii="Times New Roman" w:eastAsia="Times New Roman" w:hAnsi="Times New Roman" w:cs="Times New Roman"/>
                <w:b/>
                <w:bCs/>
                <w:color w:val="000000"/>
              </w:rPr>
              <w:t>.</w:t>
            </w:r>
          </w:p>
        </w:tc>
        <w:tc>
          <w:tcPr>
            <w:tcW w:w="316" w:type="pct"/>
            <w:shd w:val="clear" w:color="auto" w:fill="auto"/>
            <w:noWrap/>
            <w:vAlign w:val="center"/>
            <w:hideMark/>
          </w:tcPr>
          <w:p w14:paraId="5D6410BA" w14:textId="12B4F909" w:rsidR="00D36023" w:rsidRPr="008B39E1" w:rsidRDefault="001D04FA" w:rsidP="000F0F5A">
            <w:pPr>
              <w:spacing w:after="0" w:line="240" w:lineRule="auto"/>
              <w:jc w:val="center"/>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Med.</w:t>
            </w:r>
          </w:p>
        </w:tc>
        <w:tc>
          <w:tcPr>
            <w:tcW w:w="402" w:type="pct"/>
          </w:tcPr>
          <w:p w14:paraId="619C161E" w14:textId="47CE30DE" w:rsidR="00D36023" w:rsidRPr="008B39E1" w:rsidRDefault="00E61D62" w:rsidP="000F0F5A">
            <w:pPr>
              <w:spacing w:after="0" w:line="240" w:lineRule="auto"/>
              <w:jc w:val="center"/>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75</w:t>
            </w:r>
            <w:r w:rsidRPr="008B39E1">
              <w:rPr>
                <w:rFonts w:ascii="Times New Roman" w:eastAsia="Times New Roman" w:hAnsi="Times New Roman" w:cs="Times New Roman"/>
                <w:b/>
                <w:bCs/>
                <w:color w:val="000000"/>
                <w:vertAlign w:val="superscript"/>
              </w:rPr>
              <w:t>th</w:t>
            </w:r>
            <w:r w:rsidRPr="008B39E1">
              <w:rPr>
                <w:rFonts w:ascii="Times New Roman" w:eastAsia="Times New Roman" w:hAnsi="Times New Roman" w:cs="Times New Roman"/>
                <w:b/>
                <w:bCs/>
                <w:color w:val="000000"/>
              </w:rPr>
              <w:t xml:space="preserve"> Percent</w:t>
            </w:r>
            <w:r w:rsidR="00064BE0" w:rsidRPr="008B39E1">
              <w:rPr>
                <w:rFonts w:ascii="Times New Roman" w:eastAsia="Times New Roman" w:hAnsi="Times New Roman" w:cs="Times New Roman"/>
                <w:b/>
                <w:bCs/>
                <w:color w:val="000000"/>
              </w:rPr>
              <w:t>.</w:t>
            </w:r>
          </w:p>
        </w:tc>
        <w:tc>
          <w:tcPr>
            <w:tcW w:w="288" w:type="pct"/>
          </w:tcPr>
          <w:p w14:paraId="3EB2B55B" w14:textId="6CAAE07B" w:rsidR="00D36023" w:rsidRPr="008B39E1" w:rsidRDefault="00E61D62" w:rsidP="000F0F5A">
            <w:pPr>
              <w:spacing w:after="0" w:line="240" w:lineRule="auto"/>
              <w:jc w:val="center"/>
              <w:rPr>
                <w:rFonts w:ascii="Times New Roman" w:eastAsia="Times New Roman" w:hAnsi="Times New Roman" w:cs="Times New Roman"/>
                <w:b/>
                <w:bCs/>
                <w:color w:val="000000"/>
              </w:rPr>
            </w:pPr>
            <w:r w:rsidRPr="008B39E1">
              <w:rPr>
                <w:rFonts w:ascii="Times New Roman" w:eastAsia="Times New Roman" w:hAnsi="Times New Roman" w:cs="Times New Roman"/>
                <w:b/>
                <w:bCs/>
                <w:color w:val="000000"/>
              </w:rPr>
              <w:t>Std. Dev.</w:t>
            </w:r>
          </w:p>
        </w:tc>
        <w:tc>
          <w:tcPr>
            <w:tcW w:w="484" w:type="pct"/>
            <w:vMerge/>
          </w:tcPr>
          <w:p w14:paraId="5389364F" w14:textId="77777777" w:rsidR="00D36023" w:rsidRPr="008B39E1" w:rsidRDefault="00D36023" w:rsidP="000F0F5A">
            <w:pPr>
              <w:spacing w:after="0" w:line="240" w:lineRule="auto"/>
              <w:jc w:val="center"/>
              <w:rPr>
                <w:rFonts w:ascii="Times New Roman" w:eastAsia="Times New Roman" w:hAnsi="Times New Roman" w:cs="Times New Roman"/>
                <w:b/>
                <w:bCs/>
                <w:color w:val="000000"/>
              </w:rPr>
            </w:pPr>
          </w:p>
        </w:tc>
      </w:tr>
      <w:tr w:rsidR="00C257A9" w:rsidRPr="008B39E1" w14:paraId="4612D770" w14:textId="77777777" w:rsidTr="00777D90">
        <w:trPr>
          <w:trHeight w:val="319"/>
        </w:trPr>
        <w:tc>
          <w:tcPr>
            <w:tcW w:w="985" w:type="pct"/>
            <w:shd w:val="clear" w:color="auto" w:fill="auto"/>
            <w:noWrap/>
            <w:vAlign w:val="center"/>
          </w:tcPr>
          <w:p w14:paraId="285D3A4E" w14:textId="77777777" w:rsidR="00C257A9" w:rsidRPr="008B39E1" w:rsidRDefault="00C257A9" w:rsidP="000F0F5A">
            <w:pPr>
              <w:spacing w:after="0" w:line="240" w:lineRule="auto"/>
              <w:rPr>
                <w:rFonts w:ascii="Times New Roman" w:eastAsia="Times New Roman" w:hAnsi="Times New Roman" w:cs="Times New Roman"/>
                <w:i/>
                <w:iCs/>
                <w:color w:val="000000"/>
              </w:rPr>
            </w:pPr>
            <w:proofErr w:type="spellStart"/>
            <w:r w:rsidRPr="008B39E1">
              <w:rPr>
                <w:rFonts w:ascii="Times New Roman" w:eastAsia="Times New Roman" w:hAnsi="Times New Roman" w:cs="Times New Roman"/>
                <w:i/>
                <w:iCs/>
                <w:color w:val="000000"/>
              </w:rPr>
              <w:t>ICINEFF</w:t>
            </w:r>
            <w:proofErr w:type="spellEnd"/>
          </w:p>
        </w:tc>
        <w:tc>
          <w:tcPr>
            <w:tcW w:w="401" w:type="pct"/>
            <w:shd w:val="clear" w:color="auto" w:fill="auto"/>
            <w:noWrap/>
            <w:vAlign w:val="center"/>
          </w:tcPr>
          <w:p w14:paraId="1B928746" w14:textId="7B5893C3" w:rsidR="00C257A9" w:rsidRPr="008B39E1" w:rsidRDefault="00C257A9" w:rsidP="000F0F5A">
            <w:pPr>
              <w:spacing w:after="0" w:line="240" w:lineRule="auto"/>
              <w:jc w:val="center"/>
              <w:rPr>
                <w:rFonts w:ascii="Times New Roman" w:eastAsia="Times New Roman" w:hAnsi="Times New Roman" w:cs="Times New Roman"/>
                <w:b/>
                <w:bCs/>
                <w:color w:val="000000"/>
              </w:rPr>
            </w:pPr>
            <w:r w:rsidRPr="008B39E1">
              <w:rPr>
                <w:rFonts w:ascii="Times New Roman" w:hAnsi="Times New Roman" w:cs="Times New Roman"/>
                <w:color w:val="000000"/>
              </w:rPr>
              <w:t>0.172</w:t>
            </w:r>
          </w:p>
        </w:tc>
        <w:tc>
          <w:tcPr>
            <w:tcW w:w="402" w:type="pct"/>
            <w:vAlign w:val="center"/>
          </w:tcPr>
          <w:p w14:paraId="6CCE9684" w14:textId="28D0AD9A"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316" w:type="pct"/>
            <w:shd w:val="clear" w:color="auto" w:fill="auto"/>
            <w:noWrap/>
            <w:vAlign w:val="center"/>
          </w:tcPr>
          <w:p w14:paraId="5F5C401A" w14:textId="7A30879D"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w:t>
            </w:r>
          </w:p>
        </w:tc>
        <w:tc>
          <w:tcPr>
            <w:tcW w:w="402" w:type="pct"/>
            <w:vAlign w:val="center"/>
          </w:tcPr>
          <w:p w14:paraId="4A761ABC" w14:textId="5CB78789"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286" w:type="pct"/>
            <w:vAlign w:val="center"/>
          </w:tcPr>
          <w:p w14:paraId="5703EDB8" w14:textId="6E3D908A"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0.377</w:t>
            </w:r>
          </w:p>
        </w:tc>
        <w:tc>
          <w:tcPr>
            <w:tcW w:w="316" w:type="pct"/>
            <w:shd w:val="clear" w:color="auto" w:fill="auto"/>
            <w:noWrap/>
            <w:vAlign w:val="center"/>
          </w:tcPr>
          <w:p w14:paraId="7113FDB5" w14:textId="66BEE733"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0.206</w:t>
            </w:r>
          </w:p>
        </w:tc>
        <w:tc>
          <w:tcPr>
            <w:tcW w:w="402" w:type="pct"/>
            <w:vAlign w:val="center"/>
          </w:tcPr>
          <w:p w14:paraId="77D98EDC" w14:textId="72CBA004"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316" w:type="pct"/>
            <w:shd w:val="clear" w:color="auto" w:fill="auto"/>
            <w:noWrap/>
            <w:vAlign w:val="center"/>
          </w:tcPr>
          <w:p w14:paraId="26F907E9" w14:textId="4715BE83"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w:t>
            </w:r>
          </w:p>
        </w:tc>
        <w:tc>
          <w:tcPr>
            <w:tcW w:w="402" w:type="pct"/>
            <w:vAlign w:val="center"/>
          </w:tcPr>
          <w:p w14:paraId="474AD62D" w14:textId="64E668C4"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288" w:type="pct"/>
            <w:vAlign w:val="center"/>
          </w:tcPr>
          <w:p w14:paraId="6A5A9765" w14:textId="29A4B381"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0.405</w:t>
            </w:r>
          </w:p>
        </w:tc>
        <w:tc>
          <w:tcPr>
            <w:tcW w:w="484" w:type="pct"/>
            <w:vAlign w:val="center"/>
          </w:tcPr>
          <w:p w14:paraId="5C3B3D9A" w14:textId="14468A83"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-0.035***</w:t>
            </w:r>
          </w:p>
        </w:tc>
      </w:tr>
      <w:tr w:rsidR="00C257A9" w:rsidRPr="008B39E1" w14:paraId="5490381B" w14:textId="77777777" w:rsidTr="00777D90">
        <w:trPr>
          <w:trHeight w:val="330"/>
        </w:trPr>
        <w:tc>
          <w:tcPr>
            <w:tcW w:w="985" w:type="pct"/>
            <w:shd w:val="clear" w:color="auto" w:fill="auto"/>
            <w:noWrap/>
            <w:vAlign w:val="center"/>
            <w:hideMark/>
          </w:tcPr>
          <w:p w14:paraId="5BDFBAC1" w14:textId="77777777" w:rsidR="00C257A9" w:rsidRPr="008B39E1" w:rsidRDefault="00C257A9" w:rsidP="000F0F5A">
            <w:pPr>
              <w:spacing w:after="0" w:line="240" w:lineRule="auto"/>
              <w:rPr>
                <w:rFonts w:ascii="Times New Roman" w:eastAsia="Times New Roman" w:hAnsi="Times New Roman" w:cs="Times New Roman"/>
                <w:i/>
                <w:iCs/>
                <w:color w:val="000000"/>
              </w:rPr>
            </w:pPr>
            <w:r w:rsidRPr="008B39E1">
              <w:rPr>
                <w:rFonts w:ascii="Times New Roman" w:eastAsia="Times New Roman" w:hAnsi="Times New Roman" w:cs="Times New Roman"/>
                <w:i/>
                <w:iCs/>
                <w:color w:val="000000"/>
              </w:rPr>
              <w:t>BIG4</w:t>
            </w:r>
          </w:p>
        </w:tc>
        <w:tc>
          <w:tcPr>
            <w:tcW w:w="401" w:type="pct"/>
            <w:shd w:val="clear" w:color="auto" w:fill="auto"/>
            <w:noWrap/>
            <w:vAlign w:val="center"/>
            <w:hideMark/>
          </w:tcPr>
          <w:p w14:paraId="310C5A80" w14:textId="3BB5AA8D"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0.803</w:t>
            </w:r>
          </w:p>
        </w:tc>
        <w:tc>
          <w:tcPr>
            <w:tcW w:w="402" w:type="pct"/>
            <w:vAlign w:val="center"/>
          </w:tcPr>
          <w:p w14:paraId="7C45E9C5" w14:textId="551BFF86"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w:t>
            </w:r>
          </w:p>
        </w:tc>
        <w:tc>
          <w:tcPr>
            <w:tcW w:w="316" w:type="pct"/>
            <w:shd w:val="clear" w:color="auto" w:fill="auto"/>
            <w:noWrap/>
            <w:vAlign w:val="center"/>
            <w:hideMark/>
          </w:tcPr>
          <w:p w14:paraId="41F8B8EA" w14:textId="17563C40"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1</w:t>
            </w:r>
          </w:p>
        </w:tc>
        <w:tc>
          <w:tcPr>
            <w:tcW w:w="402" w:type="pct"/>
            <w:vAlign w:val="center"/>
          </w:tcPr>
          <w:p w14:paraId="1569BADE" w14:textId="06100346"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w:t>
            </w:r>
          </w:p>
        </w:tc>
        <w:tc>
          <w:tcPr>
            <w:tcW w:w="286" w:type="pct"/>
            <w:vAlign w:val="center"/>
          </w:tcPr>
          <w:p w14:paraId="692EFF01" w14:textId="3831822D"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0.398</w:t>
            </w:r>
          </w:p>
        </w:tc>
        <w:tc>
          <w:tcPr>
            <w:tcW w:w="316" w:type="pct"/>
            <w:shd w:val="clear" w:color="auto" w:fill="auto"/>
            <w:noWrap/>
            <w:vAlign w:val="center"/>
            <w:hideMark/>
          </w:tcPr>
          <w:p w14:paraId="7DDACFBB" w14:textId="00487365"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0.819</w:t>
            </w:r>
          </w:p>
        </w:tc>
        <w:tc>
          <w:tcPr>
            <w:tcW w:w="402" w:type="pct"/>
            <w:vAlign w:val="center"/>
          </w:tcPr>
          <w:p w14:paraId="0A3131EB" w14:textId="17811A86"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w:t>
            </w:r>
          </w:p>
        </w:tc>
        <w:tc>
          <w:tcPr>
            <w:tcW w:w="316" w:type="pct"/>
            <w:shd w:val="clear" w:color="auto" w:fill="auto"/>
            <w:noWrap/>
            <w:vAlign w:val="center"/>
            <w:hideMark/>
          </w:tcPr>
          <w:p w14:paraId="4E603A42" w14:textId="7F43564D"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1</w:t>
            </w:r>
          </w:p>
        </w:tc>
        <w:tc>
          <w:tcPr>
            <w:tcW w:w="402" w:type="pct"/>
            <w:vAlign w:val="center"/>
          </w:tcPr>
          <w:p w14:paraId="1F90C54E" w14:textId="6471711C"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w:t>
            </w:r>
          </w:p>
        </w:tc>
        <w:tc>
          <w:tcPr>
            <w:tcW w:w="288" w:type="pct"/>
            <w:vAlign w:val="center"/>
          </w:tcPr>
          <w:p w14:paraId="6D7F88D0" w14:textId="66A4A151"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0.385</w:t>
            </w:r>
          </w:p>
        </w:tc>
        <w:tc>
          <w:tcPr>
            <w:tcW w:w="484" w:type="pct"/>
            <w:vAlign w:val="center"/>
          </w:tcPr>
          <w:p w14:paraId="7846EA43" w14:textId="6DCC26DA"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-0.016</w:t>
            </w:r>
          </w:p>
        </w:tc>
      </w:tr>
      <w:tr w:rsidR="00C257A9" w:rsidRPr="008B39E1" w14:paraId="6338D08A" w14:textId="77777777" w:rsidTr="00777D90">
        <w:trPr>
          <w:trHeight w:val="330"/>
        </w:trPr>
        <w:tc>
          <w:tcPr>
            <w:tcW w:w="985" w:type="pct"/>
            <w:shd w:val="clear" w:color="auto" w:fill="auto"/>
            <w:noWrap/>
            <w:vAlign w:val="center"/>
            <w:hideMark/>
          </w:tcPr>
          <w:p w14:paraId="3BC54837" w14:textId="77777777" w:rsidR="00C257A9" w:rsidRPr="008B39E1" w:rsidRDefault="00C257A9" w:rsidP="000F0F5A">
            <w:pPr>
              <w:spacing w:after="0" w:line="240" w:lineRule="auto"/>
              <w:rPr>
                <w:rFonts w:ascii="Times New Roman" w:eastAsia="Times New Roman" w:hAnsi="Times New Roman" w:cs="Times New Roman"/>
                <w:i/>
                <w:iCs/>
                <w:color w:val="000000"/>
              </w:rPr>
            </w:pPr>
            <w:r w:rsidRPr="008B39E1">
              <w:rPr>
                <w:rFonts w:ascii="Times New Roman" w:eastAsia="Times New Roman" w:hAnsi="Times New Roman" w:cs="Times New Roman"/>
                <w:i/>
                <w:iCs/>
                <w:color w:val="000000"/>
              </w:rPr>
              <w:t>SIZE</w:t>
            </w:r>
          </w:p>
        </w:tc>
        <w:tc>
          <w:tcPr>
            <w:tcW w:w="401" w:type="pct"/>
            <w:shd w:val="clear" w:color="auto" w:fill="auto"/>
            <w:noWrap/>
            <w:vAlign w:val="center"/>
            <w:hideMark/>
          </w:tcPr>
          <w:p w14:paraId="1A7028BF" w14:textId="04B00662"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0.008</w:t>
            </w:r>
          </w:p>
        </w:tc>
        <w:tc>
          <w:tcPr>
            <w:tcW w:w="402" w:type="pct"/>
            <w:vAlign w:val="center"/>
          </w:tcPr>
          <w:p w14:paraId="2EB23FEB" w14:textId="1E7A7EEB"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316" w:type="pct"/>
            <w:shd w:val="clear" w:color="auto" w:fill="auto"/>
            <w:noWrap/>
            <w:vAlign w:val="center"/>
            <w:hideMark/>
          </w:tcPr>
          <w:p w14:paraId="5BD7D4CB" w14:textId="79B7AD27"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w:t>
            </w:r>
          </w:p>
        </w:tc>
        <w:tc>
          <w:tcPr>
            <w:tcW w:w="402" w:type="pct"/>
            <w:vAlign w:val="center"/>
          </w:tcPr>
          <w:p w14:paraId="607B1AF7" w14:textId="7B919FA7"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286" w:type="pct"/>
            <w:vAlign w:val="center"/>
          </w:tcPr>
          <w:p w14:paraId="66B91559" w14:textId="4495AD74"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0.088</w:t>
            </w:r>
          </w:p>
        </w:tc>
        <w:tc>
          <w:tcPr>
            <w:tcW w:w="316" w:type="pct"/>
            <w:shd w:val="clear" w:color="auto" w:fill="auto"/>
            <w:noWrap/>
            <w:vAlign w:val="center"/>
            <w:hideMark/>
          </w:tcPr>
          <w:p w14:paraId="020B4C70" w14:textId="5DD1E281"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0.317</w:t>
            </w:r>
          </w:p>
        </w:tc>
        <w:tc>
          <w:tcPr>
            <w:tcW w:w="402" w:type="pct"/>
            <w:vAlign w:val="center"/>
          </w:tcPr>
          <w:p w14:paraId="53B72B14" w14:textId="783CD3F7"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316" w:type="pct"/>
            <w:shd w:val="clear" w:color="auto" w:fill="auto"/>
            <w:noWrap/>
            <w:vAlign w:val="center"/>
            <w:hideMark/>
          </w:tcPr>
          <w:p w14:paraId="06800C41" w14:textId="23D815D9"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w:t>
            </w:r>
          </w:p>
        </w:tc>
        <w:tc>
          <w:tcPr>
            <w:tcW w:w="402" w:type="pct"/>
            <w:vAlign w:val="center"/>
          </w:tcPr>
          <w:p w14:paraId="7B383931" w14:textId="0BAB7316"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w:t>
            </w:r>
          </w:p>
        </w:tc>
        <w:tc>
          <w:tcPr>
            <w:tcW w:w="288" w:type="pct"/>
            <w:vAlign w:val="center"/>
          </w:tcPr>
          <w:p w14:paraId="58985262" w14:textId="5980A472"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0.465</w:t>
            </w:r>
          </w:p>
        </w:tc>
        <w:tc>
          <w:tcPr>
            <w:tcW w:w="484" w:type="pct"/>
            <w:vAlign w:val="center"/>
          </w:tcPr>
          <w:p w14:paraId="33CBE39C" w14:textId="050E9D8D"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-0.309***</w:t>
            </w:r>
          </w:p>
        </w:tc>
      </w:tr>
      <w:tr w:rsidR="00C257A9" w:rsidRPr="008B39E1" w14:paraId="147408BB" w14:textId="77777777" w:rsidTr="00777D90">
        <w:trPr>
          <w:trHeight w:val="330"/>
        </w:trPr>
        <w:tc>
          <w:tcPr>
            <w:tcW w:w="985" w:type="pct"/>
            <w:shd w:val="clear" w:color="auto" w:fill="auto"/>
            <w:noWrap/>
            <w:vAlign w:val="center"/>
            <w:hideMark/>
          </w:tcPr>
          <w:p w14:paraId="15A52670" w14:textId="77777777" w:rsidR="00C257A9" w:rsidRPr="008B39E1" w:rsidRDefault="00C257A9" w:rsidP="000F0F5A">
            <w:pPr>
              <w:spacing w:after="0" w:line="240" w:lineRule="auto"/>
              <w:rPr>
                <w:rFonts w:ascii="Times New Roman" w:eastAsia="Times New Roman" w:hAnsi="Times New Roman" w:cs="Times New Roman"/>
                <w:i/>
                <w:iCs/>
                <w:color w:val="000000"/>
              </w:rPr>
            </w:pPr>
            <w:r w:rsidRPr="008B39E1">
              <w:rPr>
                <w:rFonts w:ascii="Times New Roman" w:eastAsia="Times New Roman" w:hAnsi="Times New Roman" w:cs="Times New Roman"/>
                <w:i/>
                <w:iCs/>
                <w:color w:val="000000"/>
              </w:rPr>
              <w:t>LOSS</w:t>
            </w:r>
          </w:p>
        </w:tc>
        <w:tc>
          <w:tcPr>
            <w:tcW w:w="401" w:type="pct"/>
            <w:shd w:val="clear" w:color="auto" w:fill="auto"/>
            <w:noWrap/>
            <w:vAlign w:val="center"/>
            <w:hideMark/>
          </w:tcPr>
          <w:p w14:paraId="7BC0442A" w14:textId="622943BD"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0.549</w:t>
            </w:r>
          </w:p>
        </w:tc>
        <w:tc>
          <w:tcPr>
            <w:tcW w:w="402" w:type="pct"/>
            <w:vAlign w:val="center"/>
          </w:tcPr>
          <w:p w14:paraId="00E3BB2F" w14:textId="1F9887B6"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316" w:type="pct"/>
            <w:shd w:val="clear" w:color="auto" w:fill="auto"/>
            <w:noWrap/>
            <w:vAlign w:val="center"/>
            <w:hideMark/>
          </w:tcPr>
          <w:p w14:paraId="1A040947" w14:textId="0E4AC785"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1</w:t>
            </w:r>
          </w:p>
        </w:tc>
        <w:tc>
          <w:tcPr>
            <w:tcW w:w="402" w:type="pct"/>
            <w:vAlign w:val="center"/>
          </w:tcPr>
          <w:p w14:paraId="32EB5EF2" w14:textId="34399D2B"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w:t>
            </w:r>
          </w:p>
        </w:tc>
        <w:tc>
          <w:tcPr>
            <w:tcW w:w="286" w:type="pct"/>
            <w:vAlign w:val="center"/>
          </w:tcPr>
          <w:p w14:paraId="0AB808FC" w14:textId="7C005DAE"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0.498</w:t>
            </w:r>
          </w:p>
        </w:tc>
        <w:tc>
          <w:tcPr>
            <w:tcW w:w="316" w:type="pct"/>
            <w:shd w:val="clear" w:color="auto" w:fill="auto"/>
            <w:noWrap/>
            <w:vAlign w:val="center"/>
            <w:hideMark/>
          </w:tcPr>
          <w:p w14:paraId="27E4B2C0" w14:textId="4AC4ACCD"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0.527</w:t>
            </w:r>
          </w:p>
        </w:tc>
        <w:tc>
          <w:tcPr>
            <w:tcW w:w="402" w:type="pct"/>
            <w:vAlign w:val="center"/>
          </w:tcPr>
          <w:p w14:paraId="1DDB9FFC" w14:textId="2DC07C12"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316" w:type="pct"/>
            <w:shd w:val="clear" w:color="auto" w:fill="auto"/>
            <w:noWrap/>
            <w:vAlign w:val="center"/>
            <w:hideMark/>
          </w:tcPr>
          <w:p w14:paraId="0BAA2DF2" w14:textId="4905E09E"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1</w:t>
            </w:r>
          </w:p>
        </w:tc>
        <w:tc>
          <w:tcPr>
            <w:tcW w:w="402" w:type="pct"/>
            <w:vAlign w:val="center"/>
          </w:tcPr>
          <w:p w14:paraId="2572300F" w14:textId="3189C801"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w:t>
            </w:r>
          </w:p>
        </w:tc>
        <w:tc>
          <w:tcPr>
            <w:tcW w:w="288" w:type="pct"/>
            <w:vAlign w:val="center"/>
          </w:tcPr>
          <w:p w14:paraId="38D0DB18" w14:textId="2EFA9A3A"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0.499</w:t>
            </w:r>
          </w:p>
        </w:tc>
        <w:tc>
          <w:tcPr>
            <w:tcW w:w="484" w:type="pct"/>
            <w:vAlign w:val="center"/>
          </w:tcPr>
          <w:p w14:paraId="7F886843" w14:textId="6D7180BA"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0.022</w:t>
            </w:r>
          </w:p>
        </w:tc>
      </w:tr>
      <w:tr w:rsidR="00C257A9" w:rsidRPr="008B39E1" w14:paraId="2793C51B" w14:textId="77777777" w:rsidTr="00777D90">
        <w:trPr>
          <w:trHeight w:val="330"/>
        </w:trPr>
        <w:tc>
          <w:tcPr>
            <w:tcW w:w="985" w:type="pct"/>
            <w:shd w:val="clear" w:color="auto" w:fill="auto"/>
            <w:noWrap/>
            <w:vAlign w:val="center"/>
            <w:hideMark/>
          </w:tcPr>
          <w:p w14:paraId="427FB4D1" w14:textId="77777777" w:rsidR="00C257A9" w:rsidRPr="008B39E1" w:rsidRDefault="00C257A9" w:rsidP="000F0F5A">
            <w:pPr>
              <w:spacing w:after="0" w:line="240" w:lineRule="auto"/>
              <w:rPr>
                <w:rFonts w:ascii="Times New Roman" w:eastAsia="Times New Roman" w:hAnsi="Times New Roman" w:cs="Times New Roman"/>
                <w:i/>
                <w:iCs/>
                <w:color w:val="000000"/>
              </w:rPr>
            </w:pPr>
            <w:r w:rsidRPr="008B39E1">
              <w:rPr>
                <w:rFonts w:ascii="Times New Roman" w:eastAsia="Times New Roman" w:hAnsi="Times New Roman" w:cs="Times New Roman"/>
                <w:i/>
                <w:iCs/>
                <w:color w:val="000000"/>
              </w:rPr>
              <w:t>ROA</w:t>
            </w:r>
          </w:p>
        </w:tc>
        <w:tc>
          <w:tcPr>
            <w:tcW w:w="401" w:type="pct"/>
            <w:shd w:val="clear" w:color="auto" w:fill="auto"/>
            <w:noWrap/>
            <w:vAlign w:val="center"/>
            <w:hideMark/>
          </w:tcPr>
          <w:p w14:paraId="38488952" w14:textId="440E5CDA"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4.712</w:t>
            </w:r>
          </w:p>
        </w:tc>
        <w:tc>
          <w:tcPr>
            <w:tcW w:w="402" w:type="pct"/>
            <w:vAlign w:val="center"/>
          </w:tcPr>
          <w:p w14:paraId="6C836F1F" w14:textId="68CCE058"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2.955</w:t>
            </w:r>
          </w:p>
        </w:tc>
        <w:tc>
          <w:tcPr>
            <w:tcW w:w="316" w:type="pct"/>
            <w:shd w:val="clear" w:color="auto" w:fill="auto"/>
            <w:noWrap/>
            <w:vAlign w:val="center"/>
            <w:hideMark/>
          </w:tcPr>
          <w:p w14:paraId="51C8EEFF" w14:textId="00CA7B79"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4.976</w:t>
            </w:r>
          </w:p>
        </w:tc>
        <w:tc>
          <w:tcPr>
            <w:tcW w:w="402" w:type="pct"/>
            <w:vAlign w:val="center"/>
          </w:tcPr>
          <w:p w14:paraId="05E7096A" w14:textId="66CD099F"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6.699</w:t>
            </w:r>
          </w:p>
        </w:tc>
        <w:tc>
          <w:tcPr>
            <w:tcW w:w="286" w:type="pct"/>
            <w:vAlign w:val="center"/>
          </w:tcPr>
          <w:p w14:paraId="5E2C4518" w14:textId="3807C122"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2.824</w:t>
            </w:r>
          </w:p>
        </w:tc>
        <w:tc>
          <w:tcPr>
            <w:tcW w:w="316" w:type="pct"/>
            <w:shd w:val="clear" w:color="auto" w:fill="auto"/>
            <w:noWrap/>
            <w:vAlign w:val="center"/>
            <w:hideMark/>
          </w:tcPr>
          <w:p w14:paraId="24858F2B" w14:textId="50D95F51"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4.600</w:t>
            </w:r>
          </w:p>
        </w:tc>
        <w:tc>
          <w:tcPr>
            <w:tcW w:w="402" w:type="pct"/>
            <w:vAlign w:val="center"/>
          </w:tcPr>
          <w:p w14:paraId="0E60322A" w14:textId="018CEB1A"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2.835</w:t>
            </w:r>
          </w:p>
        </w:tc>
        <w:tc>
          <w:tcPr>
            <w:tcW w:w="316" w:type="pct"/>
            <w:shd w:val="clear" w:color="auto" w:fill="auto"/>
            <w:noWrap/>
            <w:vAlign w:val="center"/>
            <w:hideMark/>
          </w:tcPr>
          <w:p w14:paraId="32D238FE" w14:textId="7AEB416D"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4.970</w:t>
            </w:r>
          </w:p>
        </w:tc>
        <w:tc>
          <w:tcPr>
            <w:tcW w:w="402" w:type="pct"/>
            <w:vAlign w:val="center"/>
          </w:tcPr>
          <w:p w14:paraId="61433DEA" w14:textId="7CBEEB60"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6.669</w:t>
            </w:r>
          </w:p>
        </w:tc>
        <w:tc>
          <w:tcPr>
            <w:tcW w:w="288" w:type="pct"/>
            <w:vAlign w:val="center"/>
          </w:tcPr>
          <w:p w14:paraId="39FDD54B" w14:textId="3DB2FB41"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2.934</w:t>
            </w:r>
          </w:p>
        </w:tc>
        <w:tc>
          <w:tcPr>
            <w:tcW w:w="484" w:type="pct"/>
            <w:vAlign w:val="center"/>
          </w:tcPr>
          <w:p w14:paraId="6BDA9E73" w14:textId="254E506E"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0.107</w:t>
            </w:r>
          </w:p>
        </w:tc>
      </w:tr>
      <w:tr w:rsidR="00C257A9" w:rsidRPr="008B39E1" w14:paraId="2152FEFC" w14:textId="77777777" w:rsidTr="00777D90">
        <w:trPr>
          <w:trHeight w:val="330"/>
        </w:trPr>
        <w:tc>
          <w:tcPr>
            <w:tcW w:w="985" w:type="pct"/>
            <w:shd w:val="clear" w:color="auto" w:fill="auto"/>
            <w:noWrap/>
            <w:vAlign w:val="center"/>
            <w:hideMark/>
          </w:tcPr>
          <w:p w14:paraId="6AFD5D2B" w14:textId="77777777" w:rsidR="00C257A9" w:rsidRPr="008B39E1" w:rsidRDefault="00C257A9" w:rsidP="000F0F5A">
            <w:pPr>
              <w:spacing w:after="0" w:line="240" w:lineRule="auto"/>
              <w:rPr>
                <w:rFonts w:ascii="Times New Roman" w:eastAsia="Times New Roman" w:hAnsi="Times New Roman" w:cs="Times New Roman"/>
                <w:i/>
                <w:iCs/>
                <w:color w:val="000000"/>
              </w:rPr>
            </w:pPr>
            <w:r w:rsidRPr="008B39E1">
              <w:rPr>
                <w:rFonts w:ascii="Times New Roman" w:eastAsia="Times New Roman" w:hAnsi="Times New Roman" w:cs="Times New Roman"/>
                <w:i/>
                <w:iCs/>
                <w:color w:val="000000"/>
              </w:rPr>
              <w:t>CFO</w:t>
            </w:r>
          </w:p>
        </w:tc>
        <w:tc>
          <w:tcPr>
            <w:tcW w:w="401" w:type="pct"/>
            <w:shd w:val="clear" w:color="auto" w:fill="auto"/>
            <w:noWrap/>
            <w:vAlign w:val="center"/>
            <w:hideMark/>
          </w:tcPr>
          <w:p w14:paraId="14EC3BF3" w14:textId="15F954F5"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0.423</w:t>
            </w:r>
          </w:p>
        </w:tc>
        <w:tc>
          <w:tcPr>
            <w:tcW w:w="402" w:type="pct"/>
            <w:vAlign w:val="center"/>
          </w:tcPr>
          <w:p w14:paraId="27BED42B" w14:textId="519E55F7"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316" w:type="pct"/>
            <w:shd w:val="clear" w:color="auto" w:fill="auto"/>
            <w:noWrap/>
            <w:vAlign w:val="center"/>
            <w:hideMark/>
          </w:tcPr>
          <w:p w14:paraId="45C4A089" w14:textId="4BF3EC9C"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w:t>
            </w:r>
          </w:p>
        </w:tc>
        <w:tc>
          <w:tcPr>
            <w:tcW w:w="402" w:type="pct"/>
            <w:vAlign w:val="center"/>
          </w:tcPr>
          <w:p w14:paraId="37E76D16" w14:textId="25B3D999"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w:t>
            </w:r>
          </w:p>
        </w:tc>
        <w:tc>
          <w:tcPr>
            <w:tcW w:w="286" w:type="pct"/>
            <w:vAlign w:val="center"/>
          </w:tcPr>
          <w:p w14:paraId="14CE6B97" w14:textId="0B36B945"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0.500</w:t>
            </w:r>
          </w:p>
        </w:tc>
        <w:tc>
          <w:tcPr>
            <w:tcW w:w="316" w:type="pct"/>
            <w:shd w:val="clear" w:color="auto" w:fill="auto"/>
            <w:noWrap/>
            <w:vAlign w:val="center"/>
            <w:hideMark/>
          </w:tcPr>
          <w:p w14:paraId="234F77A5" w14:textId="18971409"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0.549</w:t>
            </w:r>
          </w:p>
        </w:tc>
        <w:tc>
          <w:tcPr>
            <w:tcW w:w="402" w:type="pct"/>
            <w:vAlign w:val="center"/>
          </w:tcPr>
          <w:p w14:paraId="46984948" w14:textId="497FC048"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316" w:type="pct"/>
            <w:shd w:val="clear" w:color="auto" w:fill="auto"/>
            <w:noWrap/>
            <w:vAlign w:val="center"/>
            <w:hideMark/>
          </w:tcPr>
          <w:p w14:paraId="3AADC08B" w14:textId="3D02E88C"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1</w:t>
            </w:r>
          </w:p>
        </w:tc>
        <w:tc>
          <w:tcPr>
            <w:tcW w:w="402" w:type="pct"/>
            <w:vAlign w:val="center"/>
          </w:tcPr>
          <w:p w14:paraId="4222786C" w14:textId="20F28B45"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w:t>
            </w:r>
          </w:p>
        </w:tc>
        <w:tc>
          <w:tcPr>
            <w:tcW w:w="288" w:type="pct"/>
            <w:vAlign w:val="center"/>
          </w:tcPr>
          <w:p w14:paraId="7598CE84" w14:textId="04C7CB9E"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0.498</w:t>
            </w:r>
          </w:p>
        </w:tc>
        <w:tc>
          <w:tcPr>
            <w:tcW w:w="484" w:type="pct"/>
            <w:vAlign w:val="center"/>
          </w:tcPr>
          <w:p w14:paraId="34E489A7" w14:textId="131AF4CB"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-0.057***</w:t>
            </w:r>
          </w:p>
        </w:tc>
      </w:tr>
      <w:tr w:rsidR="00C257A9" w:rsidRPr="008B39E1" w14:paraId="1545225A" w14:textId="77777777" w:rsidTr="00777D90">
        <w:trPr>
          <w:trHeight w:val="330"/>
        </w:trPr>
        <w:tc>
          <w:tcPr>
            <w:tcW w:w="985" w:type="pct"/>
            <w:shd w:val="clear" w:color="auto" w:fill="auto"/>
            <w:noWrap/>
            <w:vAlign w:val="center"/>
            <w:hideMark/>
          </w:tcPr>
          <w:p w14:paraId="080CBFE0" w14:textId="77777777" w:rsidR="00C257A9" w:rsidRPr="008B39E1" w:rsidRDefault="00C257A9" w:rsidP="000F0F5A">
            <w:pPr>
              <w:spacing w:after="0" w:line="240" w:lineRule="auto"/>
              <w:rPr>
                <w:rFonts w:ascii="Times New Roman" w:eastAsia="Times New Roman" w:hAnsi="Times New Roman" w:cs="Times New Roman"/>
                <w:i/>
                <w:iCs/>
                <w:color w:val="000000"/>
              </w:rPr>
            </w:pPr>
            <w:r w:rsidRPr="008B39E1">
              <w:rPr>
                <w:rFonts w:ascii="Times New Roman" w:eastAsia="Times New Roman" w:hAnsi="Times New Roman" w:cs="Times New Roman"/>
                <w:i/>
                <w:iCs/>
                <w:color w:val="000000"/>
              </w:rPr>
              <w:t>INV</w:t>
            </w:r>
          </w:p>
        </w:tc>
        <w:tc>
          <w:tcPr>
            <w:tcW w:w="401" w:type="pct"/>
            <w:shd w:val="clear" w:color="auto" w:fill="auto"/>
            <w:noWrap/>
            <w:vAlign w:val="center"/>
            <w:hideMark/>
          </w:tcPr>
          <w:p w14:paraId="6C299BEF" w14:textId="540023DC"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-1.128</w:t>
            </w:r>
          </w:p>
        </w:tc>
        <w:tc>
          <w:tcPr>
            <w:tcW w:w="402" w:type="pct"/>
            <w:vAlign w:val="center"/>
          </w:tcPr>
          <w:p w14:paraId="418A2FE9" w14:textId="73572C0B"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-0.306</w:t>
            </w:r>
          </w:p>
        </w:tc>
        <w:tc>
          <w:tcPr>
            <w:tcW w:w="316" w:type="pct"/>
            <w:shd w:val="clear" w:color="auto" w:fill="auto"/>
            <w:noWrap/>
            <w:vAlign w:val="center"/>
            <w:hideMark/>
          </w:tcPr>
          <w:p w14:paraId="13501C6F" w14:textId="58C4E99F"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0.002</w:t>
            </w:r>
          </w:p>
        </w:tc>
        <w:tc>
          <w:tcPr>
            <w:tcW w:w="402" w:type="pct"/>
            <w:vAlign w:val="center"/>
          </w:tcPr>
          <w:p w14:paraId="2DEC6170" w14:textId="5412209D"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0.066</w:t>
            </w:r>
          </w:p>
        </w:tc>
        <w:tc>
          <w:tcPr>
            <w:tcW w:w="286" w:type="pct"/>
            <w:vAlign w:val="center"/>
          </w:tcPr>
          <w:p w14:paraId="0B56EE0D" w14:textId="24888021"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5.467</w:t>
            </w:r>
          </w:p>
        </w:tc>
        <w:tc>
          <w:tcPr>
            <w:tcW w:w="316" w:type="pct"/>
            <w:shd w:val="clear" w:color="auto" w:fill="auto"/>
            <w:noWrap/>
            <w:vAlign w:val="center"/>
            <w:hideMark/>
          </w:tcPr>
          <w:p w14:paraId="035F8480" w14:textId="0A5AD6BA"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-1.613</w:t>
            </w:r>
          </w:p>
        </w:tc>
        <w:tc>
          <w:tcPr>
            <w:tcW w:w="402" w:type="pct"/>
            <w:vAlign w:val="center"/>
          </w:tcPr>
          <w:p w14:paraId="4490ED22" w14:textId="590DD51E"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-0.408</w:t>
            </w:r>
          </w:p>
        </w:tc>
        <w:tc>
          <w:tcPr>
            <w:tcW w:w="316" w:type="pct"/>
            <w:shd w:val="clear" w:color="auto" w:fill="auto"/>
            <w:noWrap/>
            <w:vAlign w:val="center"/>
            <w:hideMark/>
          </w:tcPr>
          <w:p w14:paraId="026AE27E" w14:textId="12BFC106"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-0.033</w:t>
            </w:r>
          </w:p>
        </w:tc>
        <w:tc>
          <w:tcPr>
            <w:tcW w:w="402" w:type="pct"/>
            <w:vAlign w:val="center"/>
          </w:tcPr>
          <w:p w14:paraId="05C8BC42" w14:textId="3BA7816A"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0.048</w:t>
            </w:r>
          </w:p>
        </w:tc>
        <w:tc>
          <w:tcPr>
            <w:tcW w:w="288" w:type="pct"/>
            <w:vAlign w:val="center"/>
          </w:tcPr>
          <w:p w14:paraId="629DC538" w14:textId="78FFD3D2"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7.001</w:t>
            </w:r>
          </w:p>
        </w:tc>
        <w:tc>
          <w:tcPr>
            <w:tcW w:w="484" w:type="pct"/>
            <w:vAlign w:val="center"/>
          </w:tcPr>
          <w:p w14:paraId="3E111675" w14:textId="5D0F00BC"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0.485**</w:t>
            </w:r>
          </w:p>
        </w:tc>
      </w:tr>
      <w:tr w:rsidR="00C257A9" w:rsidRPr="008B39E1" w14:paraId="2C63996C" w14:textId="77777777" w:rsidTr="00777D90">
        <w:trPr>
          <w:trHeight w:val="330"/>
        </w:trPr>
        <w:tc>
          <w:tcPr>
            <w:tcW w:w="985" w:type="pct"/>
            <w:shd w:val="clear" w:color="auto" w:fill="auto"/>
            <w:noWrap/>
            <w:vAlign w:val="center"/>
            <w:hideMark/>
          </w:tcPr>
          <w:p w14:paraId="18438CB9" w14:textId="77777777" w:rsidR="00C257A9" w:rsidRPr="008B39E1" w:rsidRDefault="00C257A9" w:rsidP="000F0F5A">
            <w:pPr>
              <w:spacing w:after="0" w:line="240" w:lineRule="auto"/>
              <w:rPr>
                <w:rFonts w:ascii="Times New Roman" w:eastAsia="Times New Roman" w:hAnsi="Times New Roman" w:cs="Times New Roman"/>
                <w:i/>
                <w:iCs/>
                <w:color w:val="000000"/>
              </w:rPr>
            </w:pPr>
            <w:r w:rsidRPr="008B39E1">
              <w:rPr>
                <w:rFonts w:ascii="Times New Roman" w:eastAsia="Times New Roman" w:hAnsi="Times New Roman" w:cs="Times New Roman"/>
                <w:i/>
                <w:iCs/>
                <w:color w:val="000000"/>
              </w:rPr>
              <w:t>REC</w:t>
            </w:r>
          </w:p>
        </w:tc>
        <w:tc>
          <w:tcPr>
            <w:tcW w:w="401" w:type="pct"/>
            <w:shd w:val="clear" w:color="auto" w:fill="auto"/>
            <w:noWrap/>
            <w:vAlign w:val="center"/>
            <w:hideMark/>
          </w:tcPr>
          <w:p w14:paraId="727A4742" w14:textId="344DD6C2"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-0.360</w:t>
            </w:r>
          </w:p>
        </w:tc>
        <w:tc>
          <w:tcPr>
            <w:tcW w:w="402" w:type="pct"/>
            <w:vAlign w:val="center"/>
          </w:tcPr>
          <w:p w14:paraId="4FACAF82" w14:textId="62742E3F"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-0.140</w:t>
            </w:r>
          </w:p>
        </w:tc>
        <w:tc>
          <w:tcPr>
            <w:tcW w:w="316" w:type="pct"/>
            <w:shd w:val="clear" w:color="auto" w:fill="auto"/>
            <w:noWrap/>
            <w:vAlign w:val="center"/>
            <w:hideMark/>
          </w:tcPr>
          <w:p w14:paraId="580C95B4" w14:textId="27AAC2E4"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0.053</w:t>
            </w:r>
          </w:p>
        </w:tc>
        <w:tc>
          <w:tcPr>
            <w:tcW w:w="402" w:type="pct"/>
            <w:vAlign w:val="center"/>
          </w:tcPr>
          <w:p w14:paraId="118739C2" w14:textId="64BE55BD"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0.119</w:t>
            </w:r>
          </w:p>
        </w:tc>
        <w:tc>
          <w:tcPr>
            <w:tcW w:w="286" w:type="pct"/>
            <w:vAlign w:val="center"/>
          </w:tcPr>
          <w:p w14:paraId="493571AA" w14:textId="215B3BD1"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1.640</w:t>
            </w:r>
          </w:p>
        </w:tc>
        <w:tc>
          <w:tcPr>
            <w:tcW w:w="316" w:type="pct"/>
            <w:shd w:val="clear" w:color="auto" w:fill="auto"/>
            <w:noWrap/>
            <w:vAlign w:val="center"/>
            <w:hideMark/>
          </w:tcPr>
          <w:p w14:paraId="75D7F56D" w14:textId="16837D00"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-0.430</w:t>
            </w:r>
          </w:p>
        </w:tc>
        <w:tc>
          <w:tcPr>
            <w:tcW w:w="402" w:type="pct"/>
            <w:vAlign w:val="center"/>
          </w:tcPr>
          <w:p w14:paraId="7D4FBFA1" w14:textId="58C81878"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-0.208</w:t>
            </w:r>
          </w:p>
        </w:tc>
        <w:tc>
          <w:tcPr>
            <w:tcW w:w="316" w:type="pct"/>
            <w:shd w:val="clear" w:color="auto" w:fill="auto"/>
            <w:noWrap/>
            <w:vAlign w:val="center"/>
            <w:hideMark/>
          </w:tcPr>
          <w:p w14:paraId="78EF4B08" w14:textId="60C4615B"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0.033</w:t>
            </w:r>
          </w:p>
        </w:tc>
        <w:tc>
          <w:tcPr>
            <w:tcW w:w="402" w:type="pct"/>
            <w:vAlign w:val="center"/>
          </w:tcPr>
          <w:p w14:paraId="0733D50D" w14:textId="38DAE905"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0.101</w:t>
            </w:r>
          </w:p>
        </w:tc>
        <w:tc>
          <w:tcPr>
            <w:tcW w:w="288" w:type="pct"/>
            <w:vAlign w:val="center"/>
          </w:tcPr>
          <w:p w14:paraId="544A3380" w14:textId="0914EE5A"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1.735</w:t>
            </w:r>
          </w:p>
        </w:tc>
        <w:tc>
          <w:tcPr>
            <w:tcW w:w="484" w:type="pct"/>
            <w:vAlign w:val="center"/>
          </w:tcPr>
          <w:p w14:paraId="071D649B" w14:textId="7B6ED396"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0.07</w:t>
            </w:r>
          </w:p>
        </w:tc>
      </w:tr>
      <w:tr w:rsidR="00C257A9" w:rsidRPr="008B39E1" w14:paraId="0D722218" w14:textId="77777777" w:rsidTr="00777D90">
        <w:trPr>
          <w:trHeight w:val="330"/>
        </w:trPr>
        <w:tc>
          <w:tcPr>
            <w:tcW w:w="985" w:type="pct"/>
            <w:shd w:val="clear" w:color="auto" w:fill="auto"/>
            <w:noWrap/>
            <w:vAlign w:val="center"/>
            <w:hideMark/>
          </w:tcPr>
          <w:p w14:paraId="04019C6E" w14:textId="77777777" w:rsidR="00C257A9" w:rsidRPr="008B39E1" w:rsidRDefault="00C257A9" w:rsidP="000F0F5A">
            <w:pPr>
              <w:spacing w:after="0" w:line="240" w:lineRule="auto"/>
              <w:rPr>
                <w:rFonts w:ascii="Times New Roman" w:eastAsia="Times New Roman" w:hAnsi="Times New Roman" w:cs="Times New Roman"/>
                <w:i/>
                <w:iCs/>
                <w:color w:val="000000"/>
              </w:rPr>
            </w:pPr>
            <w:r w:rsidRPr="008B39E1">
              <w:rPr>
                <w:rFonts w:ascii="Times New Roman" w:eastAsia="Times New Roman" w:hAnsi="Times New Roman" w:cs="Times New Roman"/>
                <w:i/>
                <w:iCs/>
                <w:color w:val="000000"/>
              </w:rPr>
              <w:t>BM</w:t>
            </w:r>
          </w:p>
        </w:tc>
        <w:tc>
          <w:tcPr>
            <w:tcW w:w="401" w:type="pct"/>
            <w:shd w:val="clear" w:color="auto" w:fill="auto"/>
            <w:noWrap/>
            <w:vAlign w:val="center"/>
            <w:hideMark/>
          </w:tcPr>
          <w:p w14:paraId="4CDAD36B" w14:textId="650B45AA"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0.093</w:t>
            </w:r>
          </w:p>
        </w:tc>
        <w:tc>
          <w:tcPr>
            <w:tcW w:w="402" w:type="pct"/>
            <w:vAlign w:val="center"/>
          </w:tcPr>
          <w:p w14:paraId="0DCEDD01" w14:textId="4C76A462"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316" w:type="pct"/>
            <w:shd w:val="clear" w:color="auto" w:fill="auto"/>
            <w:noWrap/>
            <w:vAlign w:val="center"/>
            <w:hideMark/>
          </w:tcPr>
          <w:p w14:paraId="01ED9734" w14:textId="0498A1C8"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0.027</w:t>
            </w:r>
          </w:p>
        </w:tc>
        <w:tc>
          <w:tcPr>
            <w:tcW w:w="402" w:type="pct"/>
            <w:vAlign w:val="center"/>
          </w:tcPr>
          <w:p w14:paraId="368A87AF" w14:textId="389FD118"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0.141</w:t>
            </w:r>
          </w:p>
        </w:tc>
        <w:tc>
          <w:tcPr>
            <w:tcW w:w="286" w:type="pct"/>
            <w:vAlign w:val="center"/>
          </w:tcPr>
          <w:p w14:paraId="0FD35264" w14:textId="412655C3"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0.132</w:t>
            </w:r>
          </w:p>
        </w:tc>
        <w:tc>
          <w:tcPr>
            <w:tcW w:w="316" w:type="pct"/>
            <w:shd w:val="clear" w:color="auto" w:fill="auto"/>
            <w:noWrap/>
            <w:vAlign w:val="center"/>
            <w:hideMark/>
          </w:tcPr>
          <w:p w14:paraId="12CE4583" w14:textId="164E7363"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0.075</w:t>
            </w:r>
          </w:p>
        </w:tc>
        <w:tc>
          <w:tcPr>
            <w:tcW w:w="402" w:type="pct"/>
            <w:vAlign w:val="center"/>
          </w:tcPr>
          <w:p w14:paraId="3D62CA77" w14:textId="4735C23D"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w:t>
            </w:r>
          </w:p>
        </w:tc>
        <w:tc>
          <w:tcPr>
            <w:tcW w:w="316" w:type="pct"/>
            <w:shd w:val="clear" w:color="auto" w:fill="auto"/>
            <w:noWrap/>
            <w:vAlign w:val="center"/>
            <w:hideMark/>
          </w:tcPr>
          <w:p w14:paraId="0E4D7F19" w14:textId="0CEE2C85"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0.022</w:t>
            </w:r>
          </w:p>
        </w:tc>
        <w:tc>
          <w:tcPr>
            <w:tcW w:w="402" w:type="pct"/>
            <w:vAlign w:val="center"/>
          </w:tcPr>
          <w:p w14:paraId="2C2B2109" w14:textId="216DAF24"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0.111</w:t>
            </w:r>
          </w:p>
        </w:tc>
        <w:tc>
          <w:tcPr>
            <w:tcW w:w="288" w:type="pct"/>
            <w:vAlign w:val="center"/>
          </w:tcPr>
          <w:p w14:paraId="7969C125" w14:textId="6E564D0F"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0.111</w:t>
            </w:r>
          </w:p>
        </w:tc>
        <w:tc>
          <w:tcPr>
            <w:tcW w:w="484" w:type="pct"/>
            <w:vAlign w:val="center"/>
          </w:tcPr>
          <w:p w14:paraId="357430EF" w14:textId="7F46292B"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0.018***</w:t>
            </w:r>
          </w:p>
        </w:tc>
      </w:tr>
      <w:tr w:rsidR="00C257A9" w:rsidRPr="008B39E1" w14:paraId="31550A70" w14:textId="77777777" w:rsidTr="00777D90">
        <w:trPr>
          <w:trHeight w:val="330"/>
        </w:trPr>
        <w:tc>
          <w:tcPr>
            <w:tcW w:w="985" w:type="pct"/>
            <w:shd w:val="clear" w:color="auto" w:fill="auto"/>
            <w:noWrap/>
            <w:vAlign w:val="center"/>
            <w:hideMark/>
          </w:tcPr>
          <w:p w14:paraId="6E92A511" w14:textId="77777777" w:rsidR="00C257A9" w:rsidRPr="008B39E1" w:rsidRDefault="00C257A9" w:rsidP="000F0F5A">
            <w:pPr>
              <w:spacing w:after="0" w:line="240" w:lineRule="auto"/>
              <w:rPr>
                <w:rFonts w:ascii="Times New Roman" w:eastAsia="Times New Roman" w:hAnsi="Times New Roman" w:cs="Times New Roman"/>
                <w:i/>
                <w:iCs/>
                <w:color w:val="000000"/>
              </w:rPr>
            </w:pPr>
            <w:proofErr w:type="spellStart"/>
            <w:r w:rsidRPr="008B39E1">
              <w:rPr>
                <w:rFonts w:ascii="Times New Roman" w:eastAsia="Times New Roman" w:hAnsi="Times New Roman" w:cs="Times New Roman"/>
                <w:i/>
                <w:iCs/>
                <w:color w:val="000000"/>
              </w:rPr>
              <w:t>LEVDEBT</w:t>
            </w:r>
            <w:proofErr w:type="spellEnd"/>
          </w:p>
        </w:tc>
        <w:tc>
          <w:tcPr>
            <w:tcW w:w="401" w:type="pct"/>
            <w:shd w:val="clear" w:color="auto" w:fill="auto"/>
            <w:noWrap/>
            <w:vAlign w:val="center"/>
            <w:hideMark/>
          </w:tcPr>
          <w:p w14:paraId="0AD37FC8" w14:textId="2643A40E"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0.136</w:t>
            </w:r>
          </w:p>
        </w:tc>
        <w:tc>
          <w:tcPr>
            <w:tcW w:w="402" w:type="pct"/>
            <w:vAlign w:val="center"/>
          </w:tcPr>
          <w:p w14:paraId="6A6AED30" w14:textId="7C4A3FD4"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0.040</w:t>
            </w:r>
          </w:p>
        </w:tc>
        <w:tc>
          <w:tcPr>
            <w:tcW w:w="316" w:type="pct"/>
            <w:shd w:val="clear" w:color="auto" w:fill="auto"/>
            <w:noWrap/>
            <w:vAlign w:val="center"/>
            <w:hideMark/>
          </w:tcPr>
          <w:p w14:paraId="6ED9BFD8" w14:textId="091D0A3B"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0.108</w:t>
            </w:r>
          </w:p>
        </w:tc>
        <w:tc>
          <w:tcPr>
            <w:tcW w:w="402" w:type="pct"/>
            <w:vAlign w:val="center"/>
          </w:tcPr>
          <w:p w14:paraId="2280DD7B" w14:textId="35DB33B8"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0.190</w:t>
            </w:r>
          </w:p>
        </w:tc>
        <w:tc>
          <w:tcPr>
            <w:tcW w:w="286" w:type="pct"/>
            <w:vAlign w:val="center"/>
          </w:tcPr>
          <w:p w14:paraId="758F3858" w14:textId="2141CD89"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0.127</w:t>
            </w:r>
          </w:p>
        </w:tc>
        <w:tc>
          <w:tcPr>
            <w:tcW w:w="316" w:type="pct"/>
            <w:tcBorders>
              <w:bottom w:val="single" w:sz="4" w:space="0" w:color="auto"/>
            </w:tcBorders>
            <w:shd w:val="clear" w:color="auto" w:fill="auto"/>
            <w:noWrap/>
            <w:vAlign w:val="center"/>
            <w:hideMark/>
          </w:tcPr>
          <w:p w14:paraId="32A1B768" w14:textId="0CB09B3D"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0.130</w:t>
            </w:r>
          </w:p>
        </w:tc>
        <w:tc>
          <w:tcPr>
            <w:tcW w:w="402" w:type="pct"/>
            <w:tcBorders>
              <w:bottom w:val="single" w:sz="4" w:space="0" w:color="auto"/>
            </w:tcBorders>
            <w:vAlign w:val="center"/>
          </w:tcPr>
          <w:p w14:paraId="272CFA0F" w14:textId="2E1CCCA1"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0.030</w:t>
            </w:r>
          </w:p>
        </w:tc>
        <w:tc>
          <w:tcPr>
            <w:tcW w:w="316" w:type="pct"/>
            <w:tcBorders>
              <w:bottom w:val="single" w:sz="4" w:space="0" w:color="auto"/>
            </w:tcBorders>
            <w:shd w:val="clear" w:color="auto" w:fill="auto"/>
            <w:noWrap/>
            <w:vAlign w:val="center"/>
            <w:hideMark/>
          </w:tcPr>
          <w:p w14:paraId="0105E707" w14:textId="1E8EF531" w:rsidR="00C257A9"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hAnsi="Times New Roman" w:cs="Times New Roman"/>
                <w:color w:val="000000"/>
              </w:rPr>
              <w:t>0.097</w:t>
            </w:r>
          </w:p>
        </w:tc>
        <w:tc>
          <w:tcPr>
            <w:tcW w:w="402" w:type="pct"/>
            <w:tcBorders>
              <w:bottom w:val="single" w:sz="4" w:space="0" w:color="auto"/>
            </w:tcBorders>
            <w:vAlign w:val="center"/>
          </w:tcPr>
          <w:p w14:paraId="06A9757A" w14:textId="41B5F3B8"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0.184</w:t>
            </w:r>
          </w:p>
        </w:tc>
        <w:tc>
          <w:tcPr>
            <w:tcW w:w="288" w:type="pct"/>
            <w:tcBorders>
              <w:bottom w:val="single" w:sz="4" w:space="0" w:color="auto"/>
            </w:tcBorders>
            <w:vAlign w:val="center"/>
          </w:tcPr>
          <w:p w14:paraId="57879FFA" w14:textId="33BEFFA0"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0.132</w:t>
            </w:r>
          </w:p>
        </w:tc>
        <w:tc>
          <w:tcPr>
            <w:tcW w:w="484" w:type="pct"/>
            <w:vAlign w:val="center"/>
          </w:tcPr>
          <w:p w14:paraId="3F755F6D" w14:textId="506052F5" w:rsidR="00C257A9" w:rsidRPr="008B39E1" w:rsidRDefault="00C257A9" w:rsidP="000F0F5A">
            <w:pPr>
              <w:spacing w:after="0" w:line="240" w:lineRule="auto"/>
              <w:jc w:val="center"/>
              <w:rPr>
                <w:rFonts w:ascii="Times New Roman" w:hAnsi="Times New Roman" w:cs="Times New Roman"/>
              </w:rPr>
            </w:pPr>
            <w:r w:rsidRPr="008B39E1">
              <w:rPr>
                <w:rFonts w:ascii="Times New Roman" w:hAnsi="Times New Roman" w:cs="Times New Roman"/>
                <w:color w:val="000000"/>
              </w:rPr>
              <w:t>0.006</w:t>
            </w:r>
          </w:p>
        </w:tc>
      </w:tr>
      <w:tr w:rsidR="00064BE0" w:rsidRPr="008B39E1" w14:paraId="1D543855" w14:textId="762BC940" w:rsidTr="00777D90">
        <w:trPr>
          <w:trHeight w:val="330"/>
        </w:trPr>
        <w:tc>
          <w:tcPr>
            <w:tcW w:w="985" w:type="pct"/>
            <w:shd w:val="clear" w:color="auto" w:fill="auto"/>
            <w:noWrap/>
            <w:vAlign w:val="center"/>
            <w:hideMark/>
          </w:tcPr>
          <w:p w14:paraId="267E3E16" w14:textId="77777777" w:rsidR="00D36023" w:rsidRPr="008B39E1" w:rsidRDefault="00D36023" w:rsidP="000F0F5A">
            <w:pPr>
              <w:spacing w:after="0" w:line="240" w:lineRule="auto"/>
              <w:rPr>
                <w:rFonts w:ascii="Times New Roman" w:eastAsia="Times New Roman" w:hAnsi="Times New Roman" w:cs="Times New Roman"/>
                <w:color w:val="000000"/>
              </w:rPr>
            </w:pPr>
            <w:r w:rsidRPr="008B39E1">
              <w:rPr>
                <w:rFonts w:ascii="Times New Roman" w:eastAsia="Times New Roman" w:hAnsi="Times New Roman" w:cs="Times New Roman"/>
                <w:color w:val="000000"/>
              </w:rPr>
              <w:t>N (Firms)</w:t>
            </w:r>
          </w:p>
        </w:tc>
        <w:tc>
          <w:tcPr>
            <w:tcW w:w="1807" w:type="pct"/>
            <w:gridSpan w:val="5"/>
          </w:tcPr>
          <w:p w14:paraId="62B39AE2" w14:textId="0D8BBEFA" w:rsidR="00D36023"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1</w:t>
            </w:r>
            <w:r w:rsidR="006C37C1" w:rsidRPr="008B39E1">
              <w:rPr>
                <w:rFonts w:ascii="Times New Roman" w:eastAsia="Times New Roman" w:hAnsi="Times New Roman" w:cs="Times New Roman"/>
                <w:color w:val="000000"/>
              </w:rPr>
              <w:t>,</w:t>
            </w:r>
            <w:r w:rsidRPr="008B39E1">
              <w:rPr>
                <w:rFonts w:ascii="Times New Roman" w:eastAsia="Times New Roman" w:hAnsi="Times New Roman" w:cs="Times New Roman"/>
                <w:color w:val="000000"/>
              </w:rPr>
              <w:t>788</w:t>
            </w:r>
          </w:p>
        </w:tc>
        <w:tc>
          <w:tcPr>
            <w:tcW w:w="1724" w:type="pct"/>
            <w:gridSpan w:val="5"/>
          </w:tcPr>
          <w:p w14:paraId="70044579" w14:textId="6322265E" w:rsidR="00D36023" w:rsidRPr="008B39E1" w:rsidRDefault="00C257A9" w:rsidP="000F0F5A">
            <w:pPr>
              <w:spacing w:after="0" w:line="240" w:lineRule="auto"/>
              <w:jc w:val="center"/>
              <w:rPr>
                <w:rFonts w:ascii="Times New Roman" w:eastAsia="Times New Roman" w:hAnsi="Times New Roman" w:cs="Times New Roman"/>
                <w:color w:val="000000"/>
              </w:rPr>
            </w:pPr>
            <w:r w:rsidRPr="008B39E1">
              <w:rPr>
                <w:rFonts w:ascii="Times New Roman" w:eastAsia="Times New Roman" w:hAnsi="Times New Roman" w:cs="Times New Roman"/>
                <w:color w:val="000000"/>
              </w:rPr>
              <w:t>1</w:t>
            </w:r>
            <w:r w:rsidR="006C37C1" w:rsidRPr="008B39E1">
              <w:rPr>
                <w:rFonts w:ascii="Times New Roman" w:eastAsia="Times New Roman" w:hAnsi="Times New Roman" w:cs="Times New Roman"/>
                <w:color w:val="000000"/>
              </w:rPr>
              <w:t>,</w:t>
            </w:r>
            <w:r w:rsidRPr="008B39E1">
              <w:rPr>
                <w:rFonts w:ascii="Times New Roman" w:eastAsia="Times New Roman" w:hAnsi="Times New Roman" w:cs="Times New Roman"/>
                <w:color w:val="000000"/>
              </w:rPr>
              <w:t>788</w:t>
            </w:r>
          </w:p>
        </w:tc>
        <w:tc>
          <w:tcPr>
            <w:tcW w:w="484" w:type="pct"/>
          </w:tcPr>
          <w:p w14:paraId="08D4A1A0" w14:textId="77777777" w:rsidR="00D36023" w:rsidRPr="008B39E1" w:rsidRDefault="00D36023" w:rsidP="000F0F5A">
            <w:pPr>
              <w:spacing w:after="0" w:line="240" w:lineRule="auto"/>
              <w:jc w:val="center"/>
              <w:rPr>
                <w:rFonts w:ascii="Times New Roman" w:eastAsia="Times New Roman" w:hAnsi="Times New Roman" w:cs="Times New Roman"/>
                <w:color w:val="000000"/>
              </w:rPr>
            </w:pPr>
          </w:p>
        </w:tc>
      </w:tr>
    </w:tbl>
    <w:p w14:paraId="7E6145A6" w14:textId="61A1F2B3" w:rsidR="005A4834" w:rsidRPr="005A4834" w:rsidRDefault="00CF4198" w:rsidP="000F0F5A">
      <w:pPr>
        <w:spacing w:after="0" w:line="240" w:lineRule="auto"/>
        <w:rPr>
          <w:rFonts w:ascii="Times New Roman" w:eastAsia="Times New Roman" w:hAnsi="Times New Roman" w:cs="Times New Roman"/>
          <w:color w:val="000000"/>
          <w:sz w:val="20"/>
          <w:szCs w:val="20"/>
        </w:rPr>
      </w:pPr>
      <w:r w:rsidRPr="005A4834">
        <w:rPr>
          <w:rFonts w:ascii="Times New Roman" w:eastAsia="Times New Roman" w:hAnsi="Times New Roman" w:cs="Times New Roman"/>
          <w:color w:val="000000"/>
          <w:sz w:val="20"/>
          <w:szCs w:val="20"/>
        </w:rPr>
        <w:t>***, **, and * indicate significance at the 0.01, 0.05, and 0.10 levels, respectively, using two-tailed t-test. See Appendix A for variable definitions.</w:t>
      </w:r>
    </w:p>
    <w:p w14:paraId="42E0A602" w14:textId="45BE1B9A" w:rsidR="005A4834" w:rsidRPr="005A4834" w:rsidRDefault="005A4834" w:rsidP="000F0F5A">
      <w:pPr>
        <w:spacing w:after="0" w:line="240" w:lineRule="auto"/>
        <w:rPr>
          <w:rFonts w:ascii="Times New Roman" w:hAnsi="Times New Roman" w:cs="Times New Roman"/>
          <w:b/>
          <w:bCs/>
          <w:sz w:val="20"/>
          <w:szCs w:val="20"/>
        </w:rPr>
        <w:sectPr w:rsidR="005A4834" w:rsidRPr="005A4834" w:rsidSect="00B82704">
          <w:type w:val="continuous"/>
          <w:pgSz w:w="15840" w:h="12240" w:orient="landscape" w:code="1"/>
          <w:pgMar w:top="1440" w:right="1440" w:bottom="1440" w:left="1440" w:header="720" w:footer="720" w:gutter="0"/>
          <w:cols w:space="720"/>
          <w:titlePg/>
          <w:docGrid w:linePitch="360"/>
        </w:sectPr>
      </w:pPr>
      <w:r w:rsidRPr="005A4834">
        <w:rPr>
          <w:rFonts w:ascii="Times New Roman" w:hAnsi="Times New Roman" w:cs="Times New Roman"/>
          <w:sz w:val="20"/>
          <w:szCs w:val="20"/>
        </w:rPr>
        <w:t>Source: Authors own work.</w:t>
      </w:r>
    </w:p>
    <w:p w14:paraId="19F810BA" w14:textId="3AA8501A" w:rsidR="00576C11" w:rsidRPr="008B39E1" w:rsidRDefault="00DC55B9"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lastRenderedPageBreak/>
        <w:t>TABLE III</w:t>
      </w:r>
    </w:p>
    <w:p w14:paraId="5CA67DA5" w14:textId="77777777" w:rsidR="00576C11" w:rsidRPr="008B39E1" w:rsidRDefault="00576C11"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Headquarters Relocation and Internal Control Ineffectiveness</w:t>
      </w:r>
    </w:p>
    <w:p w14:paraId="6885C2D0" w14:textId="77777777" w:rsidR="00576C11" w:rsidRPr="008B39E1" w:rsidRDefault="00576C11" w:rsidP="000F0F5A">
      <w:pPr>
        <w:spacing w:after="0" w:line="240" w:lineRule="auto"/>
        <w:rPr>
          <w:rFonts w:ascii="Times New Roman" w:hAnsi="Times New Roman" w:cs="Times New Roman"/>
          <w:b/>
          <w:bCs/>
          <w:sz w:val="24"/>
          <w:szCs w:val="24"/>
        </w:rPr>
      </w:pPr>
    </w:p>
    <w:tbl>
      <w:tblPr>
        <w:tblW w:w="3918" w:type="pct"/>
        <w:tblInd w:w="1035" w:type="dxa"/>
        <w:tblLook w:val="04A0" w:firstRow="1" w:lastRow="0" w:firstColumn="1" w:lastColumn="0" w:noHBand="0" w:noVBand="1"/>
      </w:tblPr>
      <w:tblGrid>
        <w:gridCol w:w="3485"/>
        <w:gridCol w:w="223"/>
        <w:gridCol w:w="3626"/>
      </w:tblGrid>
      <w:tr w:rsidR="00340E00" w:rsidRPr="008B39E1" w14:paraId="5835DD09" w14:textId="77777777" w:rsidTr="00340E00">
        <w:trPr>
          <w:trHeight w:val="315"/>
        </w:trPr>
        <w:tc>
          <w:tcPr>
            <w:tcW w:w="2376" w:type="pct"/>
            <w:tcBorders>
              <w:top w:val="nil"/>
              <w:left w:val="nil"/>
              <w:bottom w:val="nil"/>
              <w:right w:val="nil"/>
            </w:tcBorders>
            <w:shd w:val="clear" w:color="auto" w:fill="auto"/>
            <w:noWrap/>
            <w:vAlign w:val="bottom"/>
            <w:hideMark/>
          </w:tcPr>
          <w:p w14:paraId="6E8FA790" w14:textId="77777777" w:rsidR="00340E00" w:rsidRPr="008B39E1" w:rsidRDefault="00340E00" w:rsidP="000F0F5A">
            <w:pPr>
              <w:spacing w:after="0" w:line="240" w:lineRule="auto"/>
              <w:ind w:firstLineChars="100" w:firstLine="240"/>
              <w:rPr>
                <w:rFonts w:ascii="Times New Roman" w:eastAsia="Times New Roman" w:hAnsi="Times New Roman" w:cs="Times New Roman"/>
                <w:color w:val="000000"/>
                <w:sz w:val="24"/>
                <w:szCs w:val="24"/>
              </w:rPr>
            </w:pPr>
          </w:p>
        </w:tc>
        <w:tc>
          <w:tcPr>
            <w:tcW w:w="152" w:type="pct"/>
            <w:tcBorders>
              <w:top w:val="nil"/>
              <w:left w:val="nil"/>
              <w:bottom w:val="nil"/>
              <w:right w:val="nil"/>
            </w:tcBorders>
            <w:shd w:val="clear" w:color="auto" w:fill="auto"/>
            <w:noWrap/>
            <w:vAlign w:val="bottom"/>
            <w:hideMark/>
          </w:tcPr>
          <w:p w14:paraId="181C1EC6" w14:textId="77777777" w:rsidR="00340E00" w:rsidRPr="008B39E1" w:rsidRDefault="00340E00" w:rsidP="000F0F5A">
            <w:pPr>
              <w:spacing w:after="0" w:line="240" w:lineRule="auto"/>
              <w:ind w:firstLineChars="100" w:firstLine="240"/>
              <w:rPr>
                <w:rFonts w:ascii="Times New Roman" w:eastAsia="Times New Roman" w:hAnsi="Times New Roman" w:cs="Times New Roman"/>
                <w:color w:val="000000"/>
                <w:sz w:val="24"/>
                <w:szCs w:val="24"/>
              </w:rPr>
            </w:pPr>
          </w:p>
        </w:tc>
        <w:tc>
          <w:tcPr>
            <w:tcW w:w="2472" w:type="pct"/>
            <w:tcBorders>
              <w:top w:val="nil"/>
              <w:left w:val="nil"/>
              <w:bottom w:val="single" w:sz="4" w:space="0" w:color="auto"/>
              <w:right w:val="nil"/>
            </w:tcBorders>
            <w:shd w:val="clear" w:color="auto" w:fill="auto"/>
          </w:tcPr>
          <w:p w14:paraId="6564951D" w14:textId="77777777" w:rsidR="00340E00" w:rsidRPr="008B39E1" w:rsidRDefault="00340E00" w:rsidP="000F0F5A">
            <w:pPr>
              <w:spacing w:after="0" w:line="240" w:lineRule="auto"/>
              <w:jc w:val="center"/>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 xml:space="preserve">Dependent Variable: </w:t>
            </w:r>
            <w:proofErr w:type="spellStart"/>
            <w:r w:rsidRPr="008B39E1">
              <w:rPr>
                <w:rFonts w:ascii="Times New Roman" w:eastAsia="Times New Roman" w:hAnsi="Times New Roman" w:cs="Times New Roman"/>
                <w:i/>
                <w:iCs/>
                <w:color w:val="000000"/>
                <w:sz w:val="24"/>
                <w:szCs w:val="24"/>
              </w:rPr>
              <w:t>ICINEFF</w:t>
            </w:r>
            <w:proofErr w:type="spellEnd"/>
          </w:p>
        </w:tc>
      </w:tr>
      <w:tr w:rsidR="00340E00" w:rsidRPr="008B39E1" w14:paraId="46455004" w14:textId="77777777" w:rsidTr="00340E00">
        <w:trPr>
          <w:trHeight w:val="315"/>
        </w:trPr>
        <w:tc>
          <w:tcPr>
            <w:tcW w:w="2376" w:type="pct"/>
            <w:tcBorders>
              <w:top w:val="nil"/>
              <w:left w:val="nil"/>
              <w:bottom w:val="single" w:sz="4" w:space="0" w:color="auto"/>
              <w:right w:val="nil"/>
            </w:tcBorders>
            <w:shd w:val="clear" w:color="auto" w:fill="auto"/>
            <w:noWrap/>
            <w:vAlign w:val="bottom"/>
          </w:tcPr>
          <w:p w14:paraId="256D845A"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152" w:type="pct"/>
            <w:tcBorders>
              <w:top w:val="single" w:sz="4" w:space="0" w:color="auto"/>
              <w:left w:val="nil"/>
              <w:bottom w:val="single" w:sz="4" w:space="0" w:color="auto"/>
              <w:right w:val="nil"/>
            </w:tcBorders>
            <w:shd w:val="clear" w:color="auto" w:fill="auto"/>
            <w:noWrap/>
            <w:vAlign w:val="bottom"/>
          </w:tcPr>
          <w:p w14:paraId="757B419D"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72" w:type="pct"/>
            <w:tcBorders>
              <w:top w:val="nil"/>
              <w:left w:val="nil"/>
              <w:bottom w:val="single" w:sz="4" w:space="0" w:color="auto"/>
              <w:right w:val="nil"/>
            </w:tcBorders>
            <w:shd w:val="clear" w:color="auto" w:fill="auto"/>
            <w:noWrap/>
          </w:tcPr>
          <w:p w14:paraId="14912AD6" w14:textId="77777777"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w:t>
            </w:r>
          </w:p>
        </w:tc>
      </w:tr>
      <w:tr w:rsidR="00340E00" w:rsidRPr="008B39E1" w14:paraId="2717BE4D" w14:textId="77777777" w:rsidTr="00340E00">
        <w:trPr>
          <w:trHeight w:val="315"/>
        </w:trPr>
        <w:tc>
          <w:tcPr>
            <w:tcW w:w="2376" w:type="pct"/>
            <w:tcBorders>
              <w:top w:val="nil"/>
              <w:left w:val="nil"/>
              <w:bottom w:val="single" w:sz="4" w:space="0" w:color="auto"/>
              <w:right w:val="nil"/>
            </w:tcBorders>
            <w:shd w:val="clear" w:color="auto" w:fill="auto"/>
            <w:noWrap/>
            <w:vAlign w:val="bottom"/>
          </w:tcPr>
          <w:p w14:paraId="6C1B9486"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152" w:type="pct"/>
            <w:tcBorders>
              <w:top w:val="single" w:sz="4" w:space="0" w:color="auto"/>
              <w:left w:val="nil"/>
              <w:bottom w:val="single" w:sz="4" w:space="0" w:color="auto"/>
              <w:right w:val="nil"/>
            </w:tcBorders>
            <w:shd w:val="clear" w:color="auto" w:fill="auto"/>
            <w:noWrap/>
            <w:vAlign w:val="bottom"/>
          </w:tcPr>
          <w:p w14:paraId="791DC82B"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72" w:type="pct"/>
            <w:tcBorders>
              <w:top w:val="nil"/>
              <w:left w:val="nil"/>
              <w:bottom w:val="single" w:sz="4" w:space="0" w:color="auto"/>
              <w:right w:val="nil"/>
            </w:tcBorders>
            <w:shd w:val="clear" w:color="auto" w:fill="auto"/>
            <w:noWrap/>
          </w:tcPr>
          <w:p w14:paraId="0695249E" w14:textId="77777777"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Coeff</w:t>
            </w:r>
          </w:p>
          <w:p w14:paraId="22AA72C7" w14:textId="3D9BBC2D"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(t-statistics)</w:t>
            </w:r>
          </w:p>
        </w:tc>
      </w:tr>
      <w:tr w:rsidR="00340E00" w:rsidRPr="008B39E1" w14:paraId="6FCDC639" w14:textId="77777777" w:rsidTr="00340E00">
        <w:trPr>
          <w:trHeight w:val="135"/>
        </w:trPr>
        <w:tc>
          <w:tcPr>
            <w:tcW w:w="2376" w:type="pct"/>
            <w:tcBorders>
              <w:top w:val="nil"/>
              <w:left w:val="nil"/>
              <w:bottom w:val="nil"/>
              <w:right w:val="nil"/>
            </w:tcBorders>
            <w:shd w:val="clear" w:color="auto" w:fill="auto"/>
            <w:noWrap/>
            <w:vAlign w:val="bottom"/>
            <w:hideMark/>
          </w:tcPr>
          <w:p w14:paraId="54EC591A"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152" w:type="pct"/>
            <w:tcBorders>
              <w:top w:val="single" w:sz="4" w:space="0" w:color="auto"/>
              <w:left w:val="nil"/>
              <w:bottom w:val="nil"/>
              <w:right w:val="nil"/>
            </w:tcBorders>
            <w:shd w:val="clear" w:color="auto" w:fill="auto"/>
            <w:noWrap/>
            <w:vAlign w:val="bottom"/>
            <w:hideMark/>
          </w:tcPr>
          <w:p w14:paraId="0A231F14"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hideMark/>
          </w:tcPr>
          <w:p w14:paraId="006BF393" w14:textId="77777777" w:rsidR="00340E00" w:rsidRPr="008B39E1" w:rsidRDefault="00340E00" w:rsidP="000F0F5A">
            <w:pPr>
              <w:spacing w:after="0" w:line="240" w:lineRule="auto"/>
              <w:rPr>
                <w:rFonts w:ascii="Times New Roman" w:eastAsia="Times New Roman" w:hAnsi="Times New Roman" w:cs="Times New Roman"/>
                <w:sz w:val="24"/>
                <w:szCs w:val="24"/>
              </w:rPr>
            </w:pPr>
          </w:p>
        </w:tc>
      </w:tr>
      <w:tr w:rsidR="00340E00" w:rsidRPr="008B39E1" w14:paraId="75FB18AD" w14:textId="77777777" w:rsidTr="00340E00">
        <w:trPr>
          <w:trHeight w:val="315"/>
        </w:trPr>
        <w:tc>
          <w:tcPr>
            <w:tcW w:w="2376" w:type="pct"/>
            <w:tcBorders>
              <w:top w:val="nil"/>
              <w:left w:val="nil"/>
              <w:bottom w:val="nil"/>
              <w:right w:val="nil"/>
            </w:tcBorders>
            <w:shd w:val="clear" w:color="auto" w:fill="auto"/>
            <w:noWrap/>
            <w:vAlign w:val="bottom"/>
            <w:hideMark/>
          </w:tcPr>
          <w:p w14:paraId="443A6DE5" w14:textId="67B98480" w:rsidR="00340E00" w:rsidRPr="008B39E1" w:rsidRDefault="00340E00" w:rsidP="000F0F5A">
            <w:pPr>
              <w:spacing w:after="0" w:line="240" w:lineRule="auto"/>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RELOCATExPOST</w:t>
            </w:r>
            <w:proofErr w:type="spellEnd"/>
          </w:p>
        </w:tc>
        <w:tc>
          <w:tcPr>
            <w:tcW w:w="152" w:type="pct"/>
            <w:tcBorders>
              <w:top w:val="nil"/>
              <w:left w:val="nil"/>
              <w:bottom w:val="nil"/>
              <w:right w:val="nil"/>
            </w:tcBorders>
            <w:shd w:val="clear" w:color="auto" w:fill="auto"/>
            <w:noWrap/>
            <w:vAlign w:val="bottom"/>
            <w:hideMark/>
          </w:tcPr>
          <w:p w14:paraId="1096C755"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72" w:type="pct"/>
            <w:tcBorders>
              <w:top w:val="nil"/>
              <w:left w:val="nil"/>
              <w:bottom w:val="nil"/>
              <w:right w:val="nil"/>
            </w:tcBorders>
            <w:shd w:val="clear" w:color="auto" w:fill="auto"/>
            <w:noWrap/>
            <w:vAlign w:val="bottom"/>
            <w:hideMark/>
          </w:tcPr>
          <w:p w14:paraId="0369B2E4" w14:textId="323372E0"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b/>
                <w:bCs/>
                <w:color w:val="000000"/>
                <w:sz w:val="24"/>
                <w:szCs w:val="24"/>
              </w:rPr>
              <w:t>0.038***</w:t>
            </w:r>
          </w:p>
        </w:tc>
      </w:tr>
      <w:tr w:rsidR="00340E00" w:rsidRPr="008B39E1" w14:paraId="644E9CC3" w14:textId="77777777" w:rsidTr="00340E00">
        <w:trPr>
          <w:trHeight w:val="315"/>
        </w:trPr>
        <w:tc>
          <w:tcPr>
            <w:tcW w:w="2376" w:type="pct"/>
            <w:tcBorders>
              <w:top w:val="nil"/>
              <w:left w:val="nil"/>
              <w:bottom w:val="nil"/>
              <w:right w:val="nil"/>
            </w:tcBorders>
            <w:shd w:val="clear" w:color="auto" w:fill="auto"/>
            <w:noWrap/>
            <w:vAlign w:val="bottom"/>
            <w:hideMark/>
          </w:tcPr>
          <w:p w14:paraId="3CEE9577" w14:textId="77777777" w:rsidR="00340E00" w:rsidRPr="008B39E1" w:rsidRDefault="00340E00" w:rsidP="000F0F5A">
            <w:pPr>
              <w:spacing w:after="0" w:line="240" w:lineRule="auto"/>
              <w:rPr>
                <w:rFonts w:ascii="Times New Roman" w:eastAsia="Times New Roman" w:hAnsi="Times New Roman" w:cs="Times New Roman"/>
                <w:i/>
                <w:iCs/>
                <w:sz w:val="24"/>
                <w:szCs w:val="24"/>
              </w:rPr>
            </w:pPr>
          </w:p>
        </w:tc>
        <w:tc>
          <w:tcPr>
            <w:tcW w:w="152" w:type="pct"/>
            <w:tcBorders>
              <w:top w:val="nil"/>
              <w:left w:val="nil"/>
              <w:bottom w:val="nil"/>
              <w:right w:val="nil"/>
            </w:tcBorders>
            <w:shd w:val="clear" w:color="auto" w:fill="auto"/>
            <w:noWrap/>
            <w:vAlign w:val="bottom"/>
            <w:hideMark/>
          </w:tcPr>
          <w:p w14:paraId="27E8D05F"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hideMark/>
          </w:tcPr>
          <w:p w14:paraId="298E93B2" w14:textId="4B22E231"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b/>
                <w:bCs/>
                <w:color w:val="000000"/>
                <w:sz w:val="24"/>
                <w:szCs w:val="24"/>
              </w:rPr>
              <w:t>(2.699)</w:t>
            </w:r>
          </w:p>
        </w:tc>
      </w:tr>
      <w:tr w:rsidR="00340E00" w:rsidRPr="008B39E1" w14:paraId="5CBA66EF" w14:textId="77777777" w:rsidTr="00340E00">
        <w:trPr>
          <w:trHeight w:val="315"/>
        </w:trPr>
        <w:tc>
          <w:tcPr>
            <w:tcW w:w="2376" w:type="pct"/>
            <w:tcBorders>
              <w:top w:val="nil"/>
              <w:left w:val="nil"/>
              <w:bottom w:val="nil"/>
              <w:right w:val="nil"/>
            </w:tcBorders>
            <w:shd w:val="clear" w:color="auto" w:fill="auto"/>
            <w:noWrap/>
            <w:vAlign w:val="bottom"/>
            <w:hideMark/>
          </w:tcPr>
          <w:p w14:paraId="36E0C8DF" w14:textId="531D0DDF" w:rsidR="00340E00" w:rsidRPr="008B39E1" w:rsidRDefault="00340E00" w:rsidP="000F0F5A">
            <w:pPr>
              <w:spacing w:after="0" w:line="240" w:lineRule="auto"/>
              <w:rPr>
                <w:rFonts w:ascii="Times New Roman" w:eastAsia="Times New Roman" w:hAnsi="Times New Roman" w:cs="Times New Roman"/>
                <w:i/>
                <w:iCs/>
                <w:color w:val="000000"/>
                <w:sz w:val="24"/>
                <w:szCs w:val="24"/>
              </w:rPr>
            </w:pPr>
            <w:r w:rsidRPr="008B39E1">
              <w:rPr>
                <w:rFonts w:ascii="Times New Roman" w:hAnsi="Times New Roman" w:cs="Times New Roman"/>
                <w:i/>
                <w:iCs/>
                <w:color w:val="000000"/>
                <w:sz w:val="24"/>
                <w:szCs w:val="24"/>
              </w:rPr>
              <w:t>RELOCATE</w:t>
            </w:r>
          </w:p>
        </w:tc>
        <w:tc>
          <w:tcPr>
            <w:tcW w:w="152" w:type="pct"/>
            <w:tcBorders>
              <w:top w:val="nil"/>
              <w:left w:val="nil"/>
              <w:bottom w:val="nil"/>
              <w:right w:val="nil"/>
            </w:tcBorders>
            <w:shd w:val="clear" w:color="auto" w:fill="auto"/>
            <w:noWrap/>
            <w:vAlign w:val="bottom"/>
            <w:hideMark/>
          </w:tcPr>
          <w:p w14:paraId="6886D94B"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72" w:type="pct"/>
            <w:tcBorders>
              <w:top w:val="nil"/>
              <w:left w:val="nil"/>
              <w:bottom w:val="nil"/>
              <w:right w:val="nil"/>
            </w:tcBorders>
            <w:shd w:val="clear" w:color="auto" w:fill="auto"/>
            <w:noWrap/>
            <w:vAlign w:val="bottom"/>
            <w:hideMark/>
          </w:tcPr>
          <w:p w14:paraId="184AFAA0" w14:textId="511520AF"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sz w:val="24"/>
                <w:szCs w:val="24"/>
              </w:rPr>
            </w:pPr>
            <w:r w:rsidRPr="008B39E1">
              <w:rPr>
                <w:rFonts w:ascii="Times New Roman" w:hAnsi="Times New Roman" w:cs="Times New Roman"/>
                <w:color w:val="000000"/>
                <w:sz w:val="24"/>
                <w:szCs w:val="24"/>
              </w:rPr>
              <w:t>-0.001</w:t>
            </w:r>
          </w:p>
        </w:tc>
      </w:tr>
      <w:tr w:rsidR="00340E00" w:rsidRPr="008B39E1" w14:paraId="5817CA2F" w14:textId="77777777" w:rsidTr="00340E00">
        <w:trPr>
          <w:trHeight w:val="315"/>
        </w:trPr>
        <w:tc>
          <w:tcPr>
            <w:tcW w:w="2376" w:type="pct"/>
            <w:tcBorders>
              <w:top w:val="nil"/>
              <w:left w:val="nil"/>
              <w:bottom w:val="nil"/>
              <w:right w:val="nil"/>
            </w:tcBorders>
            <w:shd w:val="clear" w:color="auto" w:fill="auto"/>
            <w:noWrap/>
            <w:vAlign w:val="bottom"/>
            <w:hideMark/>
          </w:tcPr>
          <w:p w14:paraId="760BCF5D" w14:textId="77777777" w:rsidR="00340E00" w:rsidRPr="008B39E1" w:rsidRDefault="00340E00" w:rsidP="000F0F5A">
            <w:pPr>
              <w:spacing w:after="0" w:line="240" w:lineRule="auto"/>
              <w:rPr>
                <w:rFonts w:ascii="Times New Roman" w:eastAsia="Times New Roman" w:hAnsi="Times New Roman" w:cs="Times New Roman"/>
                <w:i/>
                <w:iCs/>
                <w:sz w:val="24"/>
                <w:szCs w:val="24"/>
              </w:rPr>
            </w:pPr>
          </w:p>
        </w:tc>
        <w:tc>
          <w:tcPr>
            <w:tcW w:w="152" w:type="pct"/>
            <w:tcBorders>
              <w:top w:val="nil"/>
              <w:left w:val="nil"/>
              <w:bottom w:val="nil"/>
              <w:right w:val="nil"/>
            </w:tcBorders>
            <w:shd w:val="clear" w:color="auto" w:fill="auto"/>
            <w:noWrap/>
            <w:vAlign w:val="bottom"/>
            <w:hideMark/>
          </w:tcPr>
          <w:p w14:paraId="3E1F1C3F"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hideMark/>
          </w:tcPr>
          <w:p w14:paraId="4A8B614C" w14:textId="2A546610"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sz w:val="24"/>
                <w:szCs w:val="24"/>
              </w:rPr>
            </w:pPr>
            <w:r w:rsidRPr="008B39E1">
              <w:rPr>
                <w:rFonts w:ascii="Times New Roman" w:hAnsi="Times New Roman" w:cs="Times New Roman"/>
                <w:color w:val="000000"/>
                <w:sz w:val="24"/>
                <w:szCs w:val="24"/>
              </w:rPr>
              <w:t>(-0.075)</w:t>
            </w:r>
          </w:p>
        </w:tc>
      </w:tr>
      <w:tr w:rsidR="00340E00" w:rsidRPr="008B39E1" w14:paraId="3C4623E6" w14:textId="77777777" w:rsidTr="00340E00">
        <w:trPr>
          <w:trHeight w:val="315"/>
        </w:trPr>
        <w:tc>
          <w:tcPr>
            <w:tcW w:w="2376" w:type="pct"/>
            <w:tcBorders>
              <w:top w:val="nil"/>
              <w:left w:val="nil"/>
              <w:bottom w:val="nil"/>
              <w:right w:val="nil"/>
            </w:tcBorders>
            <w:shd w:val="clear" w:color="auto" w:fill="auto"/>
            <w:noWrap/>
            <w:vAlign w:val="bottom"/>
            <w:hideMark/>
          </w:tcPr>
          <w:p w14:paraId="52EB1CE1"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NO_PENSION</w:t>
            </w:r>
            <w:proofErr w:type="spellEnd"/>
          </w:p>
        </w:tc>
        <w:tc>
          <w:tcPr>
            <w:tcW w:w="152" w:type="pct"/>
            <w:tcBorders>
              <w:top w:val="nil"/>
              <w:left w:val="nil"/>
              <w:bottom w:val="nil"/>
              <w:right w:val="nil"/>
            </w:tcBorders>
            <w:shd w:val="clear" w:color="auto" w:fill="auto"/>
            <w:noWrap/>
            <w:vAlign w:val="bottom"/>
            <w:hideMark/>
          </w:tcPr>
          <w:p w14:paraId="20BFBF27"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72" w:type="pct"/>
            <w:tcBorders>
              <w:top w:val="nil"/>
              <w:left w:val="nil"/>
              <w:bottom w:val="nil"/>
              <w:right w:val="nil"/>
            </w:tcBorders>
            <w:shd w:val="clear" w:color="auto" w:fill="auto"/>
            <w:noWrap/>
            <w:vAlign w:val="bottom"/>
            <w:hideMark/>
          </w:tcPr>
          <w:p w14:paraId="771505B8" w14:textId="65A7A7F8"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-0.015</w:t>
            </w:r>
          </w:p>
        </w:tc>
      </w:tr>
      <w:tr w:rsidR="00340E00" w:rsidRPr="008B39E1" w14:paraId="3A161570" w14:textId="77777777" w:rsidTr="00340E00">
        <w:trPr>
          <w:trHeight w:val="315"/>
        </w:trPr>
        <w:tc>
          <w:tcPr>
            <w:tcW w:w="2376" w:type="pct"/>
            <w:tcBorders>
              <w:top w:val="nil"/>
              <w:left w:val="nil"/>
              <w:bottom w:val="nil"/>
              <w:right w:val="nil"/>
            </w:tcBorders>
            <w:shd w:val="clear" w:color="auto" w:fill="auto"/>
            <w:noWrap/>
            <w:vAlign w:val="bottom"/>
            <w:hideMark/>
          </w:tcPr>
          <w:p w14:paraId="69DC0B17" w14:textId="77777777" w:rsidR="00340E00" w:rsidRPr="008B39E1" w:rsidRDefault="00340E00" w:rsidP="000F0F5A">
            <w:pPr>
              <w:spacing w:after="0" w:line="240" w:lineRule="auto"/>
              <w:rPr>
                <w:rFonts w:ascii="Times New Roman" w:eastAsia="Times New Roman" w:hAnsi="Times New Roman" w:cs="Times New Roman"/>
                <w:i/>
                <w:iCs/>
                <w:sz w:val="24"/>
                <w:szCs w:val="24"/>
              </w:rPr>
            </w:pPr>
          </w:p>
        </w:tc>
        <w:tc>
          <w:tcPr>
            <w:tcW w:w="152" w:type="pct"/>
            <w:tcBorders>
              <w:top w:val="nil"/>
              <w:left w:val="nil"/>
              <w:bottom w:val="nil"/>
              <w:right w:val="nil"/>
            </w:tcBorders>
            <w:shd w:val="clear" w:color="auto" w:fill="auto"/>
            <w:noWrap/>
            <w:vAlign w:val="bottom"/>
            <w:hideMark/>
          </w:tcPr>
          <w:p w14:paraId="39A257B5"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hideMark/>
          </w:tcPr>
          <w:p w14:paraId="240B993E" w14:textId="1F4943E0"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(-0.771)</w:t>
            </w:r>
          </w:p>
        </w:tc>
      </w:tr>
      <w:tr w:rsidR="00340E00" w:rsidRPr="008B39E1" w14:paraId="16BAB221" w14:textId="77777777" w:rsidTr="00340E00">
        <w:trPr>
          <w:trHeight w:val="315"/>
        </w:trPr>
        <w:tc>
          <w:tcPr>
            <w:tcW w:w="2376" w:type="pct"/>
            <w:tcBorders>
              <w:top w:val="nil"/>
              <w:left w:val="nil"/>
              <w:bottom w:val="nil"/>
              <w:right w:val="nil"/>
            </w:tcBorders>
            <w:shd w:val="clear" w:color="auto" w:fill="auto"/>
            <w:noWrap/>
            <w:vAlign w:val="bottom"/>
            <w:hideMark/>
          </w:tcPr>
          <w:p w14:paraId="7C414F36"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RESTRUCTURE</w:t>
            </w:r>
          </w:p>
        </w:tc>
        <w:tc>
          <w:tcPr>
            <w:tcW w:w="152" w:type="pct"/>
            <w:tcBorders>
              <w:top w:val="nil"/>
              <w:left w:val="nil"/>
              <w:bottom w:val="nil"/>
              <w:right w:val="nil"/>
            </w:tcBorders>
            <w:shd w:val="clear" w:color="auto" w:fill="auto"/>
            <w:noWrap/>
            <w:vAlign w:val="bottom"/>
            <w:hideMark/>
          </w:tcPr>
          <w:p w14:paraId="7088CF8A"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72" w:type="pct"/>
            <w:tcBorders>
              <w:top w:val="nil"/>
              <w:left w:val="nil"/>
              <w:bottom w:val="nil"/>
              <w:right w:val="nil"/>
            </w:tcBorders>
            <w:shd w:val="clear" w:color="auto" w:fill="auto"/>
            <w:noWrap/>
            <w:vAlign w:val="bottom"/>
            <w:hideMark/>
          </w:tcPr>
          <w:p w14:paraId="4B8EC3F6" w14:textId="37522C05"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0.012</w:t>
            </w:r>
          </w:p>
        </w:tc>
      </w:tr>
      <w:tr w:rsidR="00340E00" w:rsidRPr="008B39E1" w14:paraId="204629C3" w14:textId="77777777" w:rsidTr="00340E00">
        <w:trPr>
          <w:trHeight w:val="315"/>
        </w:trPr>
        <w:tc>
          <w:tcPr>
            <w:tcW w:w="2376" w:type="pct"/>
            <w:tcBorders>
              <w:top w:val="nil"/>
              <w:left w:val="nil"/>
              <w:bottom w:val="nil"/>
              <w:right w:val="nil"/>
            </w:tcBorders>
            <w:shd w:val="clear" w:color="auto" w:fill="auto"/>
            <w:noWrap/>
            <w:vAlign w:val="bottom"/>
            <w:hideMark/>
          </w:tcPr>
          <w:p w14:paraId="13506CB0" w14:textId="77777777" w:rsidR="00340E00" w:rsidRPr="008B39E1" w:rsidRDefault="00340E00" w:rsidP="000F0F5A">
            <w:pPr>
              <w:spacing w:after="0" w:line="240" w:lineRule="auto"/>
              <w:rPr>
                <w:rFonts w:ascii="Times New Roman" w:eastAsia="Times New Roman" w:hAnsi="Times New Roman" w:cs="Times New Roman"/>
                <w:i/>
                <w:iCs/>
                <w:sz w:val="24"/>
                <w:szCs w:val="24"/>
              </w:rPr>
            </w:pPr>
          </w:p>
        </w:tc>
        <w:tc>
          <w:tcPr>
            <w:tcW w:w="152" w:type="pct"/>
            <w:tcBorders>
              <w:top w:val="nil"/>
              <w:left w:val="nil"/>
              <w:bottom w:val="nil"/>
              <w:right w:val="nil"/>
            </w:tcBorders>
            <w:shd w:val="clear" w:color="auto" w:fill="auto"/>
            <w:noWrap/>
            <w:vAlign w:val="bottom"/>
            <w:hideMark/>
          </w:tcPr>
          <w:p w14:paraId="0F666778"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hideMark/>
          </w:tcPr>
          <w:p w14:paraId="669C1DAA" w14:textId="009553AA"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(0.560)</w:t>
            </w:r>
          </w:p>
        </w:tc>
      </w:tr>
      <w:tr w:rsidR="00340E00" w:rsidRPr="008B39E1" w14:paraId="6EC00AEE" w14:textId="77777777" w:rsidTr="00340E00">
        <w:trPr>
          <w:trHeight w:val="315"/>
        </w:trPr>
        <w:tc>
          <w:tcPr>
            <w:tcW w:w="2376" w:type="pct"/>
            <w:tcBorders>
              <w:top w:val="nil"/>
              <w:left w:val="nil"/>
              <w:bottom w:val="nil"/>
              <w:right w:val="nil"/>
            </w:tcBorders>
            <w:shd w:val="clear" w:color="auto" w:fill="auto"/>
            <w:noWrap/>
            <w:vAlign w:val="bottom"/>
            <w:hideMark/>
          </w:tcPr>
          <w:p w14:paraId="3EBCD7AF"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SIZE</w:t>
            </w:r>
          </w:p>
        </w:tc>
        <w:tc>
          <w:tcPr>
            <w:tcW w:w="152" w:type="pct"/>
            <w:tcBorders>
              <w:top w:val="nil"/>
              <w:left w:val="nil"/>
              <w:bottom w:val="nil"/>
              <w:right w:val="nil"/>
            </w:tcBorders>
            <w:shd w:val="clear" w:color="auto" w:fill="auto"/>
            <w:noWrap/>
            <w:vAlign w:val="bottom"/>
            <w:hideMark/>
          </w:tcPr>
          <w:p w14:paraId="6DAB371A"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72" w:type="pct"/>
            <w:tcBorders>
              <w:top w:val="nil"/>
              <w:left w:val="nil"/>
              <w:bottom w:val="nil"/>
              <w:right w:val="nil"/>
            </w:tcBorders>
            <w:shd w:val="clear" w:color="auto" w:fill="auto"/>
            <w:noWrap/>
            <w:vAlign w:val="bottom"/>
            <w:hideMark/>
          </w:tcPr>
          <w:p w14:paraId="5C6DDB2D" w14:textId="1967629C"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-0.051***</w:t>
            </w:r>
          </w:p>
        </w:tc>
      </w:tr>
      <w:tr w:rsidR="00340E00" w:rsidRPr="008B39E1" w14:paraId="5F8604E2" w14:textId="77777777" w:rsidTr="00340E00">
        <w:trPr>
          <w:trHeight w:val="315"/>
        </w:trPr>
        <w:tc>
          <w:tcPr>
            <w:tcW w:w="2376" w:type="pct"/>
            <w:tcBorders>
              <w:top w:val="nil"/>
              <w:left w:val="nil"/>
              <w:bottom w:val="nil"/>
              <w:right w:val="nil"/>
            </w:tcBorders>
            <w:shd w:val="clear" w:color="auto" w:fill="auto"/>
            <w:noWrap/>
            <w:vAlign w:val="bottom"/>
            <w:hideMark/>
          </w:tcPr>
          <w:p w14:paraId="587043F8"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p>
        </w:tc>
        <w:tc>
          <w:tcPr>
            <w:tcW w:w="152" w:type="pct"/>
            <w:tcBorders>
              <w:top w:val="nil"/>
              <w:left w:val="nil"/>
              <w:bottom w:val="nil"/>
              <w:right w:val="nil"/>
            </w:tcBorders>
            <w:shd w:val="clear" w:color="auto" w:fill="auto"/>
            <w:noWrap/>
            <w:vAlign w:val="bottom"/>
            <w:hideMark/>
          </w:tcPr>
          <w:p w14:paraId="65EC7681"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hideMark/>
          </w:tcPr>
          <w:p w14:paraId="3B8B24E8" w14:textId="23A9B399"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(-9.446)</w:t>
            </w:r>
          </w:p>
        </w:tc>
      </w:tr>
      <w:tr w:rsidR="00340E00" w:rsidRPr="008B39E1" w14:paraId="080AF256" w14:textId="77777777" w:rsidTr="00340E00">
        <w:trPr>
          <w:trHeight w:val="315"/>
        </w:trPr>
        <w:tc>
          <w:tcPr>
            <w:tcW w:w="2376" w:type="pct"/>
            <w:tcBorders>
              <w:top w:val="nil"/>
              <w:left w:val="nil"/>
              <w:bottom w:val="nil"/>
              <w:right w:val="nil"/>
            </w:tcBorders>
            <w:shd w:val="clear" w:color="auto" w:fill="auto"/>
            <w:noWrap/>
            <w:vAlign w:val="bottom"/>
            <w:hideMark/>
          </w:tcPr>
          <w:p w14:paraId="33764C9C"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ROA</w:t>
            </w:r>
          </w:p>
        </w:tc>
        <w:tc>
          <w:tcPr>
            <w:tcW w:w="152" w:type="pct"/>
            <w:tcBorders>
              <w:top w:val="nil"/>
              <w:left w:val="nil"/>
              <w:bottom w:val="nil"/>
              <w:right w:val="nil"/>
            </w:tcBorders>
            <w:shd w:val="clear" w:color="auto" w:fill="auto"/>
            <w:noWrap/>
            <w:vAlign w:val="bottom"/>
            <w:hideMark/>
          </w:tcPr>
          <w:p w14:paraId="5C65D5D6"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72" w:type="pct"/>
            <w:tcBorders>
              <w:top w:val="nil"/>
              <w:left w:val="nil"/>
              <w:bottom w:val="nil"/>
              <w:right w:val="nil"/>
            </w:tcBorders>
            <w:shd w:val="clear" w:color="auto" w:fill="auto"/>
            <w:noWrap/>
            <w:vAlign w:val="bottom"/>
            <w:hideMark/>
          </w:tcPr>
          <w:p w14:paraId="49C9526D" w14:textId="3BDCF7EA"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-0.004*</w:t>
            </w:r>
          </w:p>
        </w:tc>
      </w:tr>
      <w:tr w:rsidR="00340E00" w:rsidRPr="008B39E1" w14:paraId="0C5C20B5" w14:textId="77777777" w:rsidTr="00340E00">
        <w:trPr>
          <w:trHeight w:val="315"/>
        </w:trPr>
        <w:tc>
          <w:tcPr>
            <w:tcW w:w="2376" w:type="pct"/>
            <w:tcBorders>
              <w:top w:val="nil"/>
              <w:left w:val="nil"/>
              <w:bottom w:val="nil"/>
              <w:right w:val="nil"/>
            </w:tcBorders>
            <w:shd w:val="clear" w:color="auto" w:fill="auto"/>
            <w:noWrap/>
            <w:vAlign w:val="bottom"/>
            <w:hideMark/>
          </w:tcPr>
          <w:p w14:paraId="26FF9254" w14:textId="77777777" w:rsidR="00340E00" w:rsidRPr="008B39E1" w:rsidRDefault="00340E00" w:rsidP="000F0F5A">
            <w:pPr>
              <w:spacing w:after="0" w:line="240" w:lineRule="auto"/>
              <w:rPr>
                <w:rFonts w:ascii="Times New Roman" w:eastAsia="Times New Roman" w:hAnsi="Times New Roman" w:cs="Times New Roman"/>
                <w:i/>
                <w:iCs/>
                <w:sz w:val="24"/>
                <w:szCs w:val="24"/>
              </w:rPr>
            </w:pPr>
          </w:p>
        </w:tc>
        <w:tc>
          <w:tcPr>
            <w:tcW w:w="152" w:type="pct"/>
            <w:tcBorders>
              <w:top w:val="nil"/>
              <w:left w:val="nil"/>
              <w:bottom w:val="nil"/>
              <w:right w:val="nil"/>
            </w:tcBorders>
            <w:shd w:val="clear" w:color="auto" w:fill="auto"/>
            <w:noWrap/>
            <w:vAlign w:val="bottom"/>
            <w:hideMark/>
          </w:tcPr>
          <w:p w14:paraId="359D6620"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hideMark/>
          </w:tcPr>
          <w:p w14:paraId="7263A9A5" w14:textId="22F188E1"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(-1.831)</w:t>
            </w:r>
          </w:p>
        </w:tc>
      </w:tr>
      <w:tr w:rsidR="00340E00" w:rsidRPr="008B39E1" w14:paraId="31041C63" w14:textId="77777777" w:rsidTr="00340E00">
        <w:trPr>
          <w:trHeight w:val="315"/>
        </w:trPr>
        <w:tc>
          <w:tcPr>
            <w:tcW w:w="2376" w:type="pct"/>
            <w:tcBorders>
              <w:top w:val="nil"/>
              <w:left w:val="nil"/>
              <w:bottom w:val="nil"/>
              <w:right w:val="nil"/>
            </w:tcBorders>
            <w:shd w:val="clear" w:color="auto" w:fill="auto"/>
            <w:noWrap/>
            <w:vAlign w:val="bottom"/>
            <w:hideMark/>
          </w:tcPr>
          <w:p w14:paraId="455F8A4F"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LOSS</w:t>
            </w:r>
          </w:p>
        </w:tc>
        <w:tc>
          <w:tcPr>
            <w:tcW w:w="152" w:type="pct"/>
            <w:tcBorders>
              <w:top w:val="nil"/>
              <w:left w:val="nil"/>
              <w:bottom w:val="nil"/>
              <w:right w:val="nil"/>
            </w:tcBorders>
            <w:shd w:val="clear" w:color="auto" w:fill="auto"/>
            <w:noWrap/>
            <w:vAlign w:val="bottom"/>
            <w:hideMark/>
          </w:tcPr>
          <w:p w14:paraId="7D49C845"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72" w:type="pct"/>
            <w:tcBorders>
              <w:top w:val="nil"/>
              <w:left w:val="nil"/>
              <w:bottom w:val="nil"/>
              <w:right w:val="nil"/>
            </w:tcBorders>
            <w:shd w:val="clear" w:color="auto" w:fill="auto"/>
            <w:noWrap/>
            <w:vAlign w:val="bottom"/>
            <w:hideMark/>
          </w:tcPr>
          <w:p w14:paraId="1294FB87" w14:textId="10216B20"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0.068***</w:t>
            </w:r>
          </w:p>
        </w:tc>
      </w:tr>
      <w:tr w:rsidR="00340E00" w:rsidRPr="008B39E1" w14:paraId="5C7742EF" w14:textId="77777777" w:rsidTr="00340E00">
        <w:trPr>
          <w:trHeight w:val="315"/>
        </w:trPr>
        <w:tc>
          <w:tcPr>
            <w:tcW w:w="2376" w:type="pct"/>
            <w:tcBorders>
              <w:top w:val="nil"/>
              <w:left w:val="nil"/>
              <w:bottom w:val="nil"/>
              <w:right w:val="nil"/>
            </w:tcBorders>
            <w:shd w:val="clear" w:color="auto" w:fill="auto"/>
            <w:noWrap/>
            <w:vAlign w:val="bottom"/>
            <w:hideMark/>
          </w:tcPr>
          <w:p w14:paraId="05C1DFB4"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p>
        </w:tc>
        <w:tc>
          <w:tcPr>
            <w:tcW w:w="152" w:type="pct"/>
            <w:tcBorders>
              <w:top w:val="nil"/>
              <w:left w:val="nil"/>
              <w:bottom w:val="nil"/>
              <w:right w:val="nil"/>
            </w:tcBorders>
            <w:shd w:val="clear" w:color="auto" w:fill="auto"/>
            <w:noWrap/>
            <w:vAlign w:val="bottom"/>
            <w:hideMark/>
          </w:tcPr>
          <w:p w14:paraId="79AFB8C8"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hideMark/>
          </w:tcPr>
          <w:p w14:paraId="6550B9EE" w14:textId="5608BB3B"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(4.263)</w:t>
            </w:r>
          </w:p>
        </w:tc>
      </w:tr>
      <w:tr w:rsidR="00340E00" w:rsidRPr="008B39E1" w14:paraId="065D4124" w14:textId="77777777" w:rsidTr="00340E00">
        <w:trPr>
          <w:trHeight w:val="315"/>
        </w:trPr>
        <w:tc>
          <w:tcPr>
            <w:tcW w:w="2376" w:type="pct"/>
            <w:tcBorders>
              <w:top w:val="nil"/>
              <w:left w:val="nil"/>
              <w:bottom w:val="nil"/>
              <w:right w:val="nil"/>
            </w:tcBorders>
            <w:shd w:val="clear" w:color="auto" w:fill="auto"/>
            <w:noWrap/>
            <w:vAlign w:val="bottom"/>
            <w:hideMark/>
          </w:tcPr>
          <w:p w14:paraId="664FBBBD"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BM</w:t>
            </w:r>
          </w:p>
        </w:tc>
        <w:tc>
          <w:tcPr>
            <w:tcW w:w="152" w:type="pct"/>
            <w:tcBorders>
              <w:top w:val="nil"/>
              <w:left w:val="nil"/>
              <w:bottom w:val="nil"/>
              <w:right w:val="nil"/>
            </w:tcBorders>
            <w:shd w:val="clear" w:color="auto" w:fill="auto"/>
            <w:noWrap/>
            <w:vAlign w:val="bottom"/>
            <w:hideMark/>
          </w:tcPr>
          <w:p w14:paraId="1BE2379A"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72" w:type="pct"/>
            <w:tcBorders>
              <w:top w:val="nil"/>
              <w:left w:val="nil"/>
              <w:bottom w:val="nil"/>
              <w:right w:val="nil"/>
            </w:tcBorders>
            <w:shd w:val="clear" w:color="auto" w:fill="auto"/>
            <w:noWrap/>
            <w:vAlign w:val="bottom"/>
            <w:hideMark/>
          </w:tcPr>
          <w:p w14:paraId="507BBEAD" w14:textId="4E6433E6"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-0.007</w:t>
            </w:r>
          </w:p>
        </w:tc>
      </w:tr>
      <w:tr w:rsidR="00340E00" w:rsidRPr="008B39E1" w14:paraId="7E06AE1B" w14:textId="77777777" w:rsidTr="00340E00">
        <w:trPr>
          <w:trHeight w:val="315"/>
        </w:trPr>
        <w:tc>
          <w:tcPr>
            <w:tcW w:w="2376" w:type="pct"/>
            <w:tcBorders>
              <w:top w:val="nil"/>
              <w:left w:val="nil"/>
              <w:bottom w:val="nil"/>
              <w:right w:val="nil"/>
            </w:tcBorders>
            <w:shd w:val="clear" w:color="auto" w:fill="auto"/>
            <w:noWrap/>
            <w:vAlign w:val="bottom"/>
            <w:hideMark/>
          </w:tcPr>
          <w:p w14:paraId="4298BD92" w14:textId="77777777" w:rsidR="00340E00" w:rsidRPr="008B39E1" w:rsidRDefault="00340E00" w:rsidP="000F0F5A">
            <w:pPr>
              <w:spacing w:after="0" w:line="240" w:lineRule="auto"/>
              <w:rPr>
                <w:rFonts w:ascii="Times New Roman" w:eastAsia="Times New Roman" w:hAnsi="Times New Roman" w:cs="Times New Roman"/>
                <w:i/>
                <w:iCs/>
                <w:sz w:val="24"/>
                <w:szCs w:val="24"/>
              </w:rPr>
            </w:pPr>
          </w:p>
        </w:tc>
        <w:tc>
          <w:tcPr>
            <w:tcW w:w="152" w:type="pct"/>
            <w:tcBorders>
              <w:top w:val="nil"/>
              <w:left w:val="nil"/>
              <w:bottom w:val="nil"/>
              <w:right w:val="nil"/>
            </w:tcBorders>
            <w:shd w:val="clear" w:color="auto" w:fill="auto"/>
            <w:noWrap/>
            <w:vAlign w:val="bottom"/>
            <w:hideMark/>
          </w:tcPr>
          <w:p w14:paraId="78AD6C6B"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hideMark/>
          </w:tcPr>
          <w:p w14:paraId="302531AB" w14:textId="65795E20" w:rsidR="00340E00" w:rsidRPr="008B39E1" w:rsidRDefault="00340E00" w:rsidP="000F0F5A">
            <w:pPr>
              <w:tabs>
                <w:tab w:val="center" w:pos="450"/>
                <w:tab w:val="center" w:pos="1065"/>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(-1.331)</w:t>
            </w:r>
          </w:p>
        </w:tc>
      </w:tr>
      <w:tr w:rsidR="00340E00" w:rsidRPr="008B39E1" w14:paraId="74401215" w14:textId="77777777" w:rsidTr="00340E00">
        <w:trPr>
          <w:trHeight w:val="315"/>
        </w:trPr>
        <w:tc>
          <w:tcPr>
            <w:tcW w:w="2376" w:type="pct"/>
            <w:tcBorders>
              <w:top w:val="nil"/>
              <w:left w:val="nil"/>
              <w:bottom w:val="nil"/>
              <w:right w:val="nil"/>
            </w:tcBorders>
            <w:shd w:val="clear" w:color="auto" w:fill="auto"/>
            <w:noWrap/>
            <w:vAlign w:val="bottom"/>
          </w:tcPr>
          <w:p w14:paraId="61524874" w14:textId="77777777" w:rsidR="00340E00" w:rsidRPr="008B39E1" w:rsidRDefault="00340E00" w:rsidP="000F0F5A">
            <w:pPr>
              <w:spacing w:after="0" w:line="240" w:lineRule="auto"/>
              <w:rPr>
                <w:rFonts w:ascii="Times New Roman" w:eastAsia="Times New Roman" w:hAnsi="Times New Roman" w:cs="Times New Roman"/>
                <w:i/>
                <w:iCs/>
                <w:sz w:val="24"/>
                <w:szCs w:val="24"/>
              </w:rPr>
            </w:pPr>
            <w:proofErr w:type="spellStart"/>
            <w:r w:rsidRPr="008B39E1">
              <w:rPr>
                <w:rFonts w:ascii="Times New Roman" w:eastAsia="Times New Roman" w:hAnsi="Times New Roman" w:cs="Times New Roman"/>
                <w:i/>
                <w:iCs/>
                <w:color w:val="000000"/>
                <w:sz w:val="24"/>
                <w:szCs w:val="24"/>
              </w:rPr>
              <w:t>LEVDEBT</w:t>
            </w:r>
            <w:proofErr w:type="spellEnd"/>
          </w:p>
        </w:tc>
        <w:tc>
          <w:tcPr>
            <w:tcW w:w="152" w:type="pct"/>
            <w:tcBorders>
              <w:top w:val="nil"/>
              <w:left w:val="nil"/>
              <w:bottom w:val="nil"/>
              <w:right w:val="nil"/>
            </w:tcBorders>
            <w:shd w:val="clear" w:color="auto" w:fill="auto"/>
            <w:noWrap/>
            <w:vAlign w:val="bottom"/>
          </w:tcPr>
          <w:p w14:paraId="2CB273B7"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tcPr>
          <w:p w14:paraId="550E0AB2" w14:textId="5E875245" w:rsidR="00340E00" w:rsidRPr="008B39E1" w:rsidRDefault="00340E00" w:rsidP="000F0F5A">
            <w:pPr>
              <w:tabs>
                <w:tab w:val="center" w:pos="450"/>
                <w:tab w:val="center" w:pos="1065"/>
              </w:tabs>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-0.025</w:t>
            </w:r>
          </w:p>
        </w:tc>
      </w:tr>
      <w:tr w:rsidR="00340E00" w:rsidRPr="008B39E1" w14:paraId="355B3F07" w14:textId="77777777" w:rsidTr="00340E00">
        <w:trPr>
          <w:trHeight w:val="315"/>
        </w:trPr>
        <w:tc>
          <w:tcPr>
            <w:tcW w:w="2376" w:type="pct"/>
            <w:tcBorders>
              <w:top w:val="nil"/>
              <w:left w:val="nil"/>
              <w:bottom w:val="nil"/>
              <w:right w:val="nil"/>
            </w:tcBorders>
            <w:shd w:val="clear" w:color="auto" w:fill="auto"/>
            <w:noWrap/>
            <w:vAlign w:val="bottom"/>
          </w:tcPr>
          <w:p w14:paraId="5902971B" w14:textId="77777777" w:rsidR="00340E00" w:rsidRPr="008B39E1" w:rsidRDefault="00340E00" w:rsidP="000F0F5A">
            <w:pPr>
              <w:spacing w:after="0" w:line="240" w:lineRule="auto"/>
              <w:rPr>
                <w:rFonts w:ascii="Times New Roman" w:eastAsia="Times New Roman" w:hAnsi="Times New Roman" w:cs="Times New Roman"/>
                <w:i/>
                <w:iCs/>
                <w:sz w:val="24"/>
                <w:szCs w:val="24"/>
              </w:rPr>
            </w:pPr>
          </w:p>
        </w:tc>
        <w:tc>
          <w:tcPr>
            <w:tcW w:w="152" w:type="pct"/>
            <w:tcBorders>
              <w:top w:val="nil"/>
              <w:left w:val="nil"/>
              <w:bottom w:val="nil"/>
              <w:right w:val="nil"/>
            </w:tcBorders>
            <w:shd w:val="clear" w:color="auto" w:fill="auto"/>
            <w:noWrap/>
            <w:vAlign w:val="bottom"/>
          </w:tcPr>
          <w:p w14:paraId="536BBACD"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tcPr>
          <w:p w14:paraId="66EA3C10" w14:textId="5BCEFE89" w:rsidR="00340E00" w:rsidRPr="008B39E1" w:rsidRDefault="00340E00" w:rsidP="000F0F5A">
            <w:pPr>
              <w:tabs>
                <w:tab w:val="center" w:pos="450"/>
                <w:tab w:val="center" w:pos="1065"/>
              </w:tabs>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(-1.101)</w:t>
            </w:r>
          </w:p>
        </w:tc>
      </w:tr>
      <w:tr w:rsidR="00340E00" w:rsidRPr="008B39E1" w14:paraId="76C2F897" w14:textId="77777777" w:rsidTr="00340E00">
        <w:trPr>
          <w:trHeight w:val="315"/>
        </w:trPr>
        <w:tc>
          <w:tcPr>
            <w:tcW w:w="2376" w:type="pct"/>
            <w:tcBorders>
              <w:top w:val="nil"/>
              <w:left w:val="nil"/>
              <w:bottom w:val="nil"/>
              <w:right w:val="nil"/>
            </w:tcBorders>
            <w:shd w:val="clear" w:color="auto" w:fill="auto"/>
            <w:noWrap/>
            <w:vAlign w:val="bottom"/>
          </w:tcPr>
          <w:p w14:paraId="088DC171" w14:textId="77777777" w:rsidR="00340E00" w:rsidRPr="008B39E1" w:rsidRDefault="00340E00" w:rsidP="000F0F5A">
            <w:pPr>
              <w:spacing w:after="0" w:line="240" w:lineRule="auto"/>
              <w:rPr>
                <w:rFonts w:ascii="Times New Roman" w:eastAsia="Times New Roman" w:hAnsi="Times New Roman" w:cs="Times New Roman"/>
                <w:i/>
                <w:iCs/>
                <w:sz w:val="24"/>
                <w:szCs w:val="24"/>
              </w:rPr>
            </w:pPr>
            <w:r w:rsidRPr="008B39E1">
              <w:rPr>
                <w:rFonts w:ascii="Times New Roman" w:eastAsia="Times New Roman" w:hAnsi="Times New Roman" w:cs="Times New Roman"/>
                <w:i/>
                <w:iCs/>
                <w:color w:val="000000"/>
                <w:sz w:val="24"/>
                <w:szCs w:val="24"/>
              </w:rPr>
              <w:t>CFO</w:t>
            </w:r>
          </w:p>
        </w:tc>
        <w:tc>
          <w:tcPr>
            <w:tcW w:w="152" w:type="pct"/>
            <w:tcBorders>
              <w:top w:val="nil"/>
              <w:left w:val="nil"/>
              <w:bottom w:val="nil"/>
              <w:right w:val="nil"/>
            </w:tcBorders>
            <w:shd w:val="clear" w:color="auto" w:fill="auto"/>
            <w:noWrap/>
            <w:vAlign w:val="bottom"/>
          </w:tcPr>
          <w:p w14:paraId="4142D3FB"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tcPr>
          <w:p w14:paraId="3BCB2C69" w14:textId="2FA24899" w:rsidR="00340E00" w:rsidRPr="008B39E1" w:rsidRDefault="00340E00" w:rsidP="000F0F5A">
            <w:pPr>
              <w:tabs>
                <w:tab w:val="center" w:pos="450"/>
                <w:tab w:val="center" w:pos="1065"/>
              </w:tabs>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0.001</w:t>
            </w:r>
          </w:p>
        </w:tc>
      </w:tr>
      <w:tr w:rsidR="00340E00" w:rsidRPr="008B39E1" w14:paraId="3E8C56B5" w14:textId="77777777" w:rsidTr="00340E00">
        <w:trPr>
          <w:trHeight w:val="315"/>
        </w:trPr>
        <w:tc>
          <w:tcPr>
            <w:tcW w:w="2376" w:type="pct"/>
            <w:tcBorders>
              <w:top w:val="nil"/>
              <w:left w:val="nil"/>
              <w:bottom w:val="nil"/>
              <w:right w:val="nil"/>
            </w:tcBorders>
            <w:shd w:val="clear" w:color="auto" w:fill="auto"/>
            <w:noWrap/>
            <w:vAlign w:val="bottom"/>
          </w:tcPr>
          <w:p w14:paraId="30C7A8BA" w14:textId="77777777" w:rsidR="00340E00" w:rsidRPr="008B39E1" w:rsidRDefault="00340E00" w:rsidP="000F0F5A">
            <w:pPr>
              <w:spacing w:after="0" w:line="240" w:lineRule="auto"/>
              <w:rPr>
                <w:rFonts w:ascii="Times New Roman" w:eastAsia="Times New Roman" w:hAnsi="Times New Roman" w:cs="Times New Roman"/>
                <w:i/>
                <w:iCs/>
                <w:sz w:val="24"/>
                <w:szCs w:val="24"/>
              </w:rPr>
            </w:pPr>
          </w:p>
        </w:tc>
        <w:tc>
          <w:tcPr>
            <w:tcW w:w="152" w:type="pct"/>
            <w:tcBorders>
              <w:top w:val="nil"/>
              <w:left w:val="nil"/>
              <w:bottom w:val="nil"/>
              <w:right w:val="nil"/>
            </w:tcBorders>
            <w:shd w:val="clear" w:color="auto" w:fill="auto"/>
            <w:noWrap/>
            <w:vAlign w:val="bottom"/>
          </w:tcPr>
          <w:p w14:paraId="76A0A263"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tcPr>
          <w:p w14:paraId="0B82A05C" w14:textId="51E4FF3C" w:rsidR="00340E00" w:rsidRPr="008B39E1" w:rsidRDefault="00340E00" w:rsidP="000F0F5A">
            <w:pPr>
              <w:tabs>
                <w:tab w:val="center" w:pos="450"/>
                <w:tab w:val="center" w:pos="1065"/>
              </w:tabs>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(0.152)</w:t>
            </w:r>
          </w:p>
        </w:tc>
      </w:tr>
      <w:tr w:rsidR="00340E00" w:rsidRPr="008B39E1" w14:paraId="3A9A5F4F" w14:textId="77777777" w:rsidTr="00340E00">
        <w:trPr>
          <w:trHeight w:val="315"/>
        </w:trPr>
        <w:tc>
          <w:tcPr>
            <w:tcW w:w="2376" w:type="pct"/>
            <w:tcBorders>
              <w:top w:val="nil"/>
              <w:left w:val="nil"/>
              <w:bottom w:val="nil"/>
              <w:right w:val="nil"/>
            </w:tcBorders>
            <w:shd w:val="clear" w:color="auto" w:fill="auto"/>
            <w:noWrap/>
            <w:vAlign w:val="bottom"/>
          </w:tcPr>
          <w:p w14:paraId="28E729A8" w14:textId="77777777" w:rsidR="00340E00" w:rsidRPr="008B39E1" w:rsidRDefault="00340E00" w:rsidP="000F0F5A">
            <w:pPr>
              <w:spacing w:after="0" w:line="240" w:lineRule="auto"/>
              <w:rPr>
                <w:rFonts w:ascii="Times New Roman" w:eastAsia="Times New Roman" w:hAnsi="Times New Roman" w:cs="Times New Roman"/>
                <w:i/>
                <w:iCs/>
                <w:sz w:val="24"/>
                <w:szCs w:val="24"/>
              </w:rPr>
            </w:pPr>
            <w:r w:rsidRPr="008B39E1">
              <w:rPr>
                <w:rFonts w:ascii="Times New Roman" w:eastAsia="Times New Roman" w:hAnsi="Times New Roman" w:cs="Times New Roman"/>
                <w:i/>
                <w:iCs/>
                <w:color w:val="000000"/>
                <w:sz w:val="24"/>
                <w:szCs w:val="24"/>
              </w:rPr>
              <w:t>BIG4</w:t>
            </w:r>
          </w:p>
        </w:tc>
        <w:tc>
          <w:tcPr>
            <w:tcW w:w="152" w:type="pct"/>
            <w:tcBorders>
              <w:top w:val="nil"/>
              <w:left w:val="nil"/>
              <w:bottom w:val="nil"/>
              <w:right w:val="nil"/>
            </w:tcBorders>
            <w:shd w:val="clear" w:color="auto" w:fill="auto"/>
            <w:noWrap/>
            <w:vAlign w:val="bottom"/>
          </w:tcPr>
          <w:p w14:paraId="4735EBF2"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tcPr>
          <w:p w14:paraId="7AA97B8D" w14:textId="2BF7F8C9" w:rsidR="00340E00" w:rsidRPr="008B39E1" w:rsidRDefault="00340E00" w:rsidP="000F0F5A">
            <w:pPr>
              <w:tabs>
                <w:tab w:val="center" w:pos="450"/>
                <w:tab w:val="center" w:pos="1065"/>
              </w:tabs>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-0.021</w:t>
            </w:r>
          </w:p>
        </w:tc>
      </w:tr>
      <w:tr w:rsidR="00340E00" w:rsidRPr="008B39E1" w14:paraId="60A8AF48" w14:textId="77777777" w:rsidTr="00340E00">
        <w:trPr>
          <w:trHeight w:val="315"/>
        </w:trPr>
        <w:tc>
          <w:tcPr>
            <w:tcW w:w="2376" w:type="pct"/>
            <w:tcBorders>
              <w:top w:val="nil"/>
              <w:left w:val="nil"/>
              <w:bottom w:val="nil"/>
              <w:right w:val="nil"/>
            </w:tcBorders>
            <w:shd w:val="clear" w:color="auto" w:fill="auto"/>
            <w:noWrap/>
            <w:vAlign w:val="bottom"/>
          </w:tcPr>
          <w:p w14:paraId="4F472FDE" w14:textId="77777777" w:rsidR="00340E00" w:rsidRPr="008B39E1" w:rsidRDefault="00340E00" w:rsidP="000F0F5A">
            <w:pPr>
              <w:spacing w:after="0" w:line="240" w:lineRule="auto"/>
              <w:rPr>
                <w:rFonts w:ascii="Times New Roman" w:eastAsia="Times New Roman" w:hAnsi="Times New Roman" w:cs="Times New Roman"/>
                <w:i/>
                <w:iCs/>
                <w:sz w:val="24"/>
                <w:szCs w:val="24"/>
              </w:rPr>
            </w:pPr>
          </w:p>
        </w:tc>
        <w:tc>
          <w:tcPr>
            <w:tcW w:w="152" w:type="pct"/>
            <w:tcBorders>
              <w:top w:val="nil"/>
              <w:left w:val="nil"/>
              <w:bottom w:val="nil"/>
              <w:right w:val="nil"/>
            </w:tcBorders>
            <w:shd w:val="clear" w:color="auto" w:fill="auto"/>
            <w:noWrap/>
            <w:vAlign w:val="bottom"/>
          </w:tcPr>
          <w:p w14:paraId="79042D23"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tcPr>
          <w:p w14:paraId="3044A196" w14:textId="1BF289DB" w:rsidR="00340E00" w:rsidRPr="008B39E1" w:rsidRDefault="00340E00" w:rsidP="000F0F5A">
            <w:pPr>
              <w:tabs>
                <w:tab w:val="center" w:pos="450"/>
                <w:tab w:val="center" w:pos="1065"/>
              </w:tabs>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(-1.000)</w:t>
            </w:r>
          </w:p>
        </w:tc>
      </w:tr>
      <w:tr w:rsidR="00340E00" w:rsidRPr="008B39E1" w14:paraId="65DB2BA2" w14:textId="77777777" w:rsidTr="00340E00">
        <w:trPr>
          <w:trHeight w:val="315"/>
        </w:trPr>
        <w:tc>
          <w:tcPr>
            <w:tcW w:w="2376" w:type="pct"/>
            <w:tcBorders>
              <w:top w:val="nil"/>
              <w:left w:val="nil"/>
              <w:bottom w:val="nil"/>
              <w:right w:val="nil"/>
            </w:tcBorders>
            <w:shd w:val="clear" w:color="auto" w:fill="auto"/>
            <w:noWrap/>
            <w:vAlign w:val="bottom"/>
          </w:tcPr>
          <w:p w14:paraId="42593559" w14:textId="77777777" w:rsidR="00340E00" w:rsidRPr="008B39E1" w:rsidRDefault="00340E00" w:rsidP="000F0F5A">
            <w:pPr>
              <w:spacing w:after="0" w:line="240" w:lineRule="auto"/>
              <w:rPr>
                <w:rFonts w:ascii="Times New Roman" w:eastAsia="Times New Roman" w:hAnsi="Times New Roman" w:cs="Times New Roman"/>
                <w:i/>
                <w:iCs/>
                <w:sz w:val="24"/>
                <w:szCs w:val="24"/>
              </w:rPr>
            </w:pPr>
            <w:r w:rsidRPr="008B39E1">
              <w:rPr>
                <w:rFonts w:ascii="Times New Roman" w:eastAsia="Times New Roman" w:hAnsi="Times New Roman" w:cs="Times New Roman"/>
                <w:i/>
                <w:iCs/>
                <w:color w:val="000000"/>
                <w:sz w:val="24"/>
                <w:szCs w:val="24"/>
              </w:rPr>
              <w:t>INV</w:t>
            </w:r>
          </w:p>
        </w:tc>
        <w:tc>
          <w:tcPr>
            <w:tcW w:w="152" w:type="pct"/>
            <w:tcBorders>
              <w:top w:val="nil"/>
              <w:left w:val="nil"/>
              <w:bottom w:val="nil"/>
              <w:right w:val="nil"/>
            </w:tcBorders>
            <w:shd w:val="clear" w:color="auto" w:fill="auto"/>
            <w:noWrap/>
            <w:vAlign w:val="bottom"/>
          </w:tcPr>
          <w:p w14:paraId="73606927"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tcPr>
          <w:p w14:paraId="54AEE47E" w14:textId="00934D6F" w:rsidR="00340E00" w:rsidRPr="008B39E1" w:rsidRDefault="00340E00" w:rsidP="000F0F5A">
            <w:pPr>
              <w:tabs>
                <w:tab w:val="center" w:pos="450"/>
                <w:tab w:val="center" w:pos="1065"/>
              </w:tabs>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-0.056</w:t>
            </w:r>
          </w:p>
        </w:tc>
      </w:tr>
      <w:tr w:rsidR="00340E00" w:rsidRPr="008B39E1" w14:paraId="55BBC4E2" w14:textId="77777777" w:rsidTr="00340E00">
        <w:trPr>
          <w:trHeight w:val="315"/>
        </w:trPr>
        <w:tc>
          <w:tcPr>
            <w:tcW w:w="2376" w:type="pct"/>
            <w:tcBorders>
              <w:top w:val="nil"/>
              <w:left w:val="nil"/>
              <w:bottom w:val="nil"/>
              <w:right w:val="nil"/>
            </w:tcBorders>
            <w:shd w:val="clear" w:color="auto" w:fill="auto"/>
            <w:noWrap/>
            <w:vAlign w:val="bottom"/>
          </w:tcPr>
          <w:p w14:paraId="2425CD08"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152" w:type="pct"/>
            <w:tcBorders>
              <w:top w:val="nil"/>
              <w:left w:val="nil"/>
              <w:bottom w:val="nil"/>
              <w:right w:val="nil"/>
            </w:tcBorders>
            <w:shd w:val="clear" w:color="auto" w:fill="auto"/>
            <w:noWrap/>
            <w:vAlign w:val="bottom"/>
          </w:tcPr>
          <w:p w14:paraId="593763F4"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72" w:type="pct"/>
            <w:tcBorders>
              <w:top w:val="nil"/>
              <w:left w:val="nil"/>
              <w:bottom w:val="nil"/>
              <w:right w:val="nil"/>
            </w:tcBorders>
            <w:shd w:val="clear" w:color="auto" w:fill="auto"/>
            <w:noWrap/>
            <w:vAlign w:val="bottom"/>
          </w:tcPr>
          <w:p w14:paraId="3D025C63" w14:textId="5698F039" w:rsidR="00340E00" w:rsidRPr="008B39E1" w:rsidRDefault="00340E00" w:rsidP="000F0F5A">
            <w:pPr>
              <w:tabs>
                <w:tab w:val="center" w:pos="450"/>
                <w:tab w:val="center" w:pos="1065"/>
              </w:tabs>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(-0.650)</w:t>
            </w:r>
          </w:p>
        </w:tc>
      </w:tr>
    </w:tbl>
    <w:p w14:paraId="1F7CED37" w14:textId="77777777" w:rsidR="00576C11" w:rsidRPr="008B39E1" w:rsidRDefault="00576C11" w:rsidP="000F0F5A">
      <w:pPr>
        <w:spacing w:after="0" w:line="240" w:lineRule="auto"/>
        <w:jc w:val="right"/>
        <w:rPr>
          <w:rFonts w:ascii="Times New Roman" w:hAnsi="Times New Roman" w:cs="Times New Roman"/>
          <w:i/>
          <w:iCs/>
          <w:sz w:val="24"/>
          <w:szCs w:val="24"/>
        </w:rPr>
      </w:pPr>
    </w:p>
    <w:p w14:paraId="16A52C07" w14:textId="77777777" w:rsidR="00576C11" w:rsidRPr="008B39E1" w:rsidRDefault="00576C11" w:rsidP="000F0F5A">
      <w:pPr>
        <w:spacing w:after="0" w:line="240" w:lineRule="auto"/>
        <w:jc w:val="right"/>
        <w:rPr>
          <w:rFonts w:ascii="Times New Roman" w:hAnsi="Times New Roman" w:cs="Times New Roman"/>
          <w:sz w:val="24"/>
          <w:szCs w:val="24"/>
        </w:rPr>
      </w:pPr>
      <w:r w:rsidRPr="008B39E1">
        <w:rPr>
          <w:rFonts w:ascii="Times New Roman" w:hAnsi="Times New Roman" w:cs="Times New Roman"/>
          <w:i/>
          <w:iCs/>
          <w:sz w:val="24"/>
          <w:szCs w:val="24"/>
        </w:rPr>
        <w:t>(Continued on next page)</w:t>
      </w:r>
    </w:p>
    <w:p w14:paraId="5996C23D" w14:textId="77777777" w:rsidR="00576C11" w:rsidRPr="008B39E1" w:rsidRDefault="00576C11" w:rsidP="000F0F5A">
      <w:pPr>
        <w:spacing w:after="0" w:line="240" w:lineRule="auto"/>
        <w:rPr>
          <w:rFonts w:ascii="Times New Roman" w:hAnsi="Times New Roman" w:cs="Times New Roman"/>
        </w:rPr>
      </w:pPr>
    </w:p>
    <w:p w14:paraId="2234DC19" w14:textId="77777777" w:rsidR="00966410" w:rsidRPr="008B39E1" w:rsidRDefault="00966410" w:rsidP="000F0F5A">
      <w:pPr>
        <w:spacing w:after="0" w:line="240" w:lineRule="auto"/>
        <w:rPr>
          <w:rFonts w:ascii="Times New Roman" w:hAnsi="Times New Roman" w:cs="Times New Roman"/>
        </w:rPr>
      </w:pPr>
    </w:p>
    <w:p w14:paraId="2F002ED2" w14:textId="77777777" w:rsidR="00966410" w:rsidRPr="008B39E1" w:rsidRDefault="00966410" w:rsidP="000F0F5A">
      <w:pPr>
        <w:spacing w:after="0" w:line="240" w:lineRule="auto"/>
        <w:rPr>
          <w:rFonts w:ascii="Times New Roman" w:hAnsi="Times New Roman" w:cs="Times New Roman"/>
        </w:rPr>
      </w:pPr>
    </w:p>
    <w:p w14:paraId="2951E22A" w14:textId="77777777" w:rsidR="00966410" w:rsidRPr="008B39E1" w:rsidRDefault="00966410" w:rsidP="000F0F5A">
      <w:pPr>
        <w:spacing w:after="0" w:line="240" w:lineRule="auto"/>
        <w:rPr>
          <w:rFonts w:ascii="Times New Roman" w:hAnsi="Times New Roman" w:cs="Times New Roman"/>
        </w:rPr>
      </w:pPr>
    </w:p>
    <w:p w14:paraId="360041CD" w14:textId="77777777" w:rsidR="00966410" w:rsidRPr="008B39E1" w:rsidRDefault="00966410" w:rsidP="000F0F5A">
      <w:pPr>
        <w:spacing w:after="0" w:line="240" w:lineRule="auto"/>
        <w:rPr>
          <w:rFonts w:ascii="Times New Roman" w:hAnsi="Times New Roman" w:cs="Times New Roman"/>
        </w:rPr>
      </w:pPr>
    </w:p>
    <w:p w14:paraId="6F6559EB" w14:textId="77777777" w:rsidR="00966410" w:rsidRPr="008B39E1" w:rsidRDefault="00966410" w:rsidP="000F0F5A">
      <w:pPr>
        <w:spacing w:after="0" w:line="240" w:lineRule="auto"/>
        <w:rPr>
          <w:rFonts w:ascii="Times New Roman" w:hAnsi="Times New Roman" w:cs="Times New Roman"/>
        </w:rPr>
      </w:pPr>
    </w:p>
    <w:p w14:paraId="1AB2E4A8" w14:textId="77777777" w:rsidR="00966410" w:rsidRPr="008B39E1" w:rsidRDefault="00966410" w:rsidP="000F0F5A">
      <w:pPr>
        <w:spacing w:after="0" w:line="240" w:lineRule="auto"/>
        <w:rPr>
          <w:rFonts w:ascii="Times New Roman" w:hAnsi="Times New Roman" w:cs="Times New Roman"/>
        </w:rPr>
      </w:pPr>
    </w:p>
    <w:p w14:paraId="0612D605" w14:textId="77777777" w:rsidR="00966410" w:rsidRPr="008B39E1" w:rsidRDefault="00966410" w:rsidP="000F0F5A">
      <w:pPr>
        <w:spacing w:after="0" w:line="240" w:lineRule="auto"/>
        <w:rPr>
          <w:rFonts w:ascii="Times New Roman" w:hAnsi="Times New Roman" w:cs="Times New Roman"/>
        </w:rPr>
      </w:pPr>
    </w:p>
    <w:p w14:paraId="6B1E9F3E" w14:textId="77777777" w:rsidR="00966410" w:rsidRPr="008B39E1" w:rsidRDefault="00966410" w:rsidP="000F0F5A">
      <w:pPr>
        <w:spacing w:after="0" w:line="240" w:lineRule="auto"/>
        <w:rPr>
          <w:rFonts w:ascii="Times New Roman" w:hAnsi="Times New Roman" w:cs="Times New Roman"/>
        </w:rPr>
      </w:pPr>
    </w:p>
    <w:p w14:paraId="5085FED1" w14:textId="77777777" w:rsidR="00966410" w:rsidRPr="008B39E1" w:rsidRDefault="00966410" w:rsidP="000F0F5A">
      <w:pPr>
        <w:spacing w:after="0" w:line="240" w:lineRule="auto"/>
        <w:rPr>
          <w:rFonts w:ascii="Times New Roman" w:hAnsi="Times New Roman" w:cs="Times New Roman"/>
        </w:rPr>
      </w:pPr>
    </w:p>
    <w:p w14:paraId="178D32BA" w14:textId="42129DBF" w:rsidR="00576C11" w:rsidRPr="008B39E1" w:rsidRDefault="00576C11" w:rsidP="000F0F5A">
      <w:pPr>
        <w:spacing w:after="0" w:line="240" w:lineRule="auto"/>
        <w:rPr>
          <w:rFonts w:ascii="Times New Roman" w:hAnsi="Times New Roman" w:cs="Times New Roman"/>
          <w:i/>
          <w:iCs/>
          <w:sz w:val="24"/>
          <w:szCs w:val="24"/>
        </w:rPr>
      </w:pPr>
      <w:r w:rsidRPr="008B39E1">
        <w:rPr>
          <w:rFonts w:ascii="Times New Roman" w:hAnsi="Times New Roman" w:cs="Times New Roman"/>
          <w:i/>
          <w:iCs/>
          <w:sz w:val="24"/>
          <w:szCs w:val="24"/>
        </w:rPr>
        <w:lastRenderedPageBreak/>
        <w:t>(</w:t>
      </w:r>
      <w:r w:rsidR="00DC55B9" w:rsidRPr="008B39E1">
        <w:rPr>
          <w:rFonts w:ascii="Times New Roman" w:hAnsi="Times New Roman" w:cs="Times New Roman"/>
          <w:i/>
          <w:iCs/>
          <w:sz w:val="24"/>
          <w:szCs w:val="24"/>
        </w:rPr>
        <w:t>TABLE III</w:t>
      </w:r>
      <w:r w:rsidRPr="008B39E1">
        <w:rPr>
          <w:rFonts w:ascii="Times New Roman" w:hAnsi="Times New Roman" w:cs="Times New Roman"/>
          <w:i/>
          <w:iCs/>
          <w:sz w:val="24"/>
          <w:szCs w:val="24"/>
        </w:rPr>
        <w:t xml:space="preserve"> continued)</w:t>
      </w:r>
    </w:p>
    <w:p w14:paraId="1EDFD088" w14:textId="77777777" w:rsidR="00576C11" w:rsidRPr="008B39E1" w:rsidRDefault="00576C11" w:rsidP="000F0F5A">
      <w:pPr>
        <w:spacing w:after="0" w:line="240" w:lineRule="auto"/>
        <w:jc w:val="right"/>
        <w:rPr>
          <w:rFonts w:ascii="Times New Roman" w:hAnsi="Times New Roman" w:cs="Times New Roman"/>
          <w:i/>
          <w:iCs/>
          <w:sz w:val="24"/>
          <w:szCs w:val="24"/>
        </w:rPr>
      </w:pPr>
    </w:p>
    <w:tbl>
      <w:tblPr>
        <w:tblpPr w:leftFromText="180" w:rightFromText="180" w:vertAnchor="text" w:horzAnchor="margin" w:tblpXSpec="center" w:tblpY="-25"/>
        <w:tblW w:w="3846" w:type="pct"/>
        <w:tblLook w:val="04A0" w:firstRow="1" w:lastRow="0" w:firstColumn="1" w:lastColumn="0" w:noHBand="0" w:noVBand="1"/>
      </w:tblPr>
      <w:tblGrid>
        <w:gridCol w:w="3420"/>
        <w:gridCol w:w="271"/>
        <w:gridCol w:w="3509"/>
      </w:tblGrid>
      <w:tr w:rsidR="00340E00" w:rsidRPr="008B39E1" w14:paraId="5CE8356F" w14:textId="77777777" w:rsidTr="00BF499C">
        <w:trPr>
          <w:trHeight w:val="315"/>
        </w:trPr>
        <w:tc>
          <w:tcPr>
            <w:tcW w:w="2375" w:type="pct"/>
            <w:tcBorders>
              <w:top w:val="nil"/>
              <w:left w:val="nil"/>
              <w:bottom w:val="nil"/>
              <w:right w:val="nil"/>
            </w:tcBorders>
            <w:shd w:val="clear" w:color="auto" w:fill="auto"/>
            <w:noWrap/>
            <w:vAlign w:val="bottom"/>
          </w:tcPr>
          <w:p w14:paraId="0B4FA569"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188" w:type="pct"/>
            <w:tcBorders>
              <w:top w:val="nil"/>
              <w:left w:val="nil"/>
              <w:bottom w:val="nil"/>
              <w:right w:val="nil"/>
            </w:tcBorders>
            <w:shd w:val="clear" w:color="auto" w:fill="auto"/>
            <w:noWrap/>
            <w:vAlign w:val="bottom"/>
          </w:tcPr>
          <w:p w14:paraId="098962DF"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37" w:type="pct"/>
            <w:tcBorders>
              <w:top w:val="nil"/>
              <w:left w:val="nil"/>
              <w:bottom w:val="single" w:sz="4" w:space="0" w:color="auto"/>
              <w:right w:val="nil"/>
            </w:tcBorders>
            <w:shd w:val="clear" w:color="auto" w:fill="auto"/>
            <w:vAlign w:val="bottom"/>
          </w:tcPr>
          <w:p w14:paraId="3A1F7E8C" w14:textId="77777777" w:rsidR="00340E00" w:rsidRPr="008B39E1" w:rsidRDefault="00340E00" w:rsidP="000F0F5A">
            <w:pPr>
              <w:spacing w:after="0" w:line="240" w:lineRule="auto"/>
              <w:jc w:val="center"/>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 xml:space="preserve">Dependent Variable: </w:t>
            </w:r>
            <w:proofErr w:type="spellStart"/>
            <w:r w:rsidRPr="008B39E1">
              <w:rPr>
                <w:rFonts w:ascii="Times New Roman" w:eastAsia="Times New Roman" w:hAnsi="Times New Roman" w:cs="Times New Roman"/>
                <w:i/>
                <w:iCs/>
                <w:color w:val="000000"/>
                <w:sz w:val="24"/>
                <w:szCs w:val="24"/>
              </w:rPr>
              <w:t>ICINEFF</w:t>
            </w:r>
            <w:proofErr w:type="spellEnd"/>
          </w:p>
        </w:tc>
      </w:tr>
      <w:tr w:rsidR="00340E00" w:rsidRPr="008B39E1" w14:paraId="1FFD4683" w14:textId="77777777" w:rsidTr="00BF499C">
        <w:trPr>
          <w:trHeight w:val="315"/>
        </w:trPr>
        <w:tc>
          <w:tcPr>
            <w:tcW w:w="2375" w:type="pct"/>
            <w:tcBorders>
              <w:top w:val="nil"/>
              <w:left w:val="nil"/>
              <w:bottom w:val="single" w:sz="4" w:space="0" w:color="auto"/>
              <w:right w:val="nil"/>
            </w:tcBorders>
            <w:shd w:val="clear" w:color="auto" w:fill="auto"/>
            <w:noWrap/>
            <w:vAlign w:val="bottom"/>
          </w:tcPr>
          <w:p w14:paraId="5356BCDD"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188" w:type="pct"/>
            <w:tcBorders>
              <w:top w:val="nil"/>
              <w:left w:val="nil"/>
              <w:bottom w:val="single" w:sz="4" w:space="0" w:color="auto"/>
              <w:right w:val="nil"/>
            </w:tcBorders>
            <w:shd w:val="clear" w:color="auto" w:fill="auto"/>
            <w:noWrap/>
            <w:vAlign w:val="bottom"/>
          </w:tcPr>
          <w:p w14:paraId="41984672"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37" w:type="pct"/>
            <w:tcBorders>
              <w:top w:val="single" w:sz="4" w:space="0" w:color="auto"/>
              <w:left w:val="nil"/>
              <w:bottom w:val="single" w:sz="4" w:space="0" w:color="auto"/>
              <w:right w:val="nil"/>
            </w:tcBorders>
            <w:shd w:val="clear" w:color="auto" w:fill="auto"/>
            <w:noWrap/>
            <w:vAlign w:val="bottom"/>
          </w:tcPr>
          <w:p w14:paraId="09D36D4B" w14:textId="77777777"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w:t>
            </w:r>
          </w:p>
        </w:tc>
      </w:tr>
      <w:tr w:rsidR="00340E00" w:rsidRPr="008B39E1" w14:paraId="2AA87049" w14:textId="77777777" w:rsidTr="00BF499C">
        <w:trPr>
          <w:trHeight w:val="315"/>
        </w:trPr>
        <w:tc>
          <w:tcPr>
            <w:tcW w:w="2375" w:type="pct"/>
            <w:tcBorders>
              <w:top w:val="nil"/>
              <w:left w:val="nil"/>
              <w:bottom w:val="nil"/>
              <w:right w:val="nil"/>
            </w:tcBorders>
            <w:shd w:val="clear" w:color="auto" w:fill="auto"/>
            <w:noWrap/>
            <w:vAlign w:val="bottom"/>
          </w:tcPr>
          <w:p w14:paraId="5286E143"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REC</w:t>
            </w:r>
          </w:p>
        </w:tc>
        <w:tc>
          <w:tcPr>
            <w:tcW w:w="188" w:type="pct"/>
            <w:tcBorders>
              <w:top w:val="nil"/>
              <w:left w:val="nil"/>
              <w:bottom w:val="nil"/>
              <w:right w:val="nil"/>
            </w:tcBorders>
            <w:shd w:val="clear" w:color="auto" w:fill="auto"/>
            <w:noWrap/>
            <w:vAlign w:val="bottom"/>
          </w:tcPr>
          <w:p w14:paraId="1B7CA0BB"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37" w:type="pct"/>
            <w:tcBorders>
              <w:top w:val="nil"/>
              <w:left w:val="nil"/>
              <w:bottom w:val="nil"/>
              <w:right w:val="nil"/>
            </w:tcBorders>
            <w:shd w:val="clear" w:color="auto" w:fill="auto"/>
            <w:noWrap/>
            <w:vAlign w:val="bottom"/>
          </w:tcPr>
          <w:p w14:paraId="172EF429" w14:textId="042E8856"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-0.018</w:t>
            </w:r>
          </w:p>
        </w:tc>
      </w:tr>
      <w:tr w:rsidR="00340E00" w:rsidRPr="008B39E1" w14:paraId="757D3E4D" w14:textId="77777777" w:rsidTr="00BF499C">
        <w:trPr>
          <w:trHeight w:val="315"/>
        </w:trPr>
        <w:tc>
          <w:tcPr>
            <w:tcW w:w="2375" w:type="pct"/>
            <w:tcBorders>
              <w:top w:val="nil"/>
              <w:left w:val="nil"/>
              <w:bottom w:val="nil"/>
              <w:right w:val="nil"/>
            </w:tcBorders>
            <w:shd w:val="clear" w:color="auto" w:fill="auto"/>
            <w:noWrap/>
            <w:vAlign w:val="bottom"/>
          </w:tcPr>
          <w:p w14:paraId="1AE85B31"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p>
        </w:tc>
        <w:tc>
          <w:tcPr>
            <w:tcW w:w="188" w:type="pct"/>
            <w:tcBorders>
              <w:top w:val="nil"/>
              <w:left w:val="nil"/>
              <w:bottom w:val="nil"/>
              <w:right w:val="nil"/>
            </w:tcBorders>
            <w:shd w:val="clear" w:color="auto" w:fill="auto"/>
            <w:noWrap/>
            <w:vAlign w:val="bottom"/>
          </w:tcPr>
          <w:p w14:paraId="5EFF22E4"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37" w:type="pct"/>
            <w:tcBorders>
              <w:top w:val="nil"/>
              <w:left w:val="nil"/>
              <w:bottom w:val="nil"/>
              <w:right w:val="nil"/>
            </w:tcBorders>
            <w:shd w:val="clear" w:color="auto" w:fill="auto"/>
            <w:noWrap/>
            <w:vAlign w:val="bottom"/>
          </w:tcPr>
          <w:p w14:paraId="7CEA7897" w14:textId="659B6DE9" w:rsidR="00340E00" w:rsidRPr="008B39E1" w:rsidRDefault="00340E00" w:rsidP="000F0F5A">
            <w:pPr>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(-0.243)</w:t>
            </w:r>
          </w:p>
        </w:tc>
      </w:tr>
      <w:tr w:rsidR="00340E00" w:rsidRPr="008B39E1" w14:paraId="1EA90E3C" w14:textId="77777777" w:rsidTr="00BF499C">
        <w:trPr>
          <w:trHeight w:val="315"/>
        </w:trPr>
        <w:tc>
          <w:tcPr>
            <w:tcW w:w="2375" w:type="pct"/>
            <w:tcBorders>
              <w:top w:val="nil"/>
              <w:left w:val="nil"/>
              <w:bottom w:val="nil"/>
              <w:right w:val="nil"/>
            </w:tcBorders>
            <w:shd w:val="clear" w:color="auto" w:fill="auto"/>
            <w:noWrap/>
            <w:vAlign w:val="bottom"/>
          </w:tcPr>
          <w:p w14:paraId="60CC1318" w14:textId="77777777" w:rsidR="00340E00" w:rsidRPr="008B39E1" w:rsidRDefault="00340E00" w:rsidP="000F0F5A">
            <w:pPr>
              <w:spacing w:after="0" w:line="240" w:lineRule="auto"/>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INTERCEPT</w:t>
            </w:r>
          </w:p>
        </w:tc>
        <w:tc>
          <w:tcPr>
            <w:tcW w:w="188" w:type="pct"/>
            <w:tcBorders>
              <w:top w:val="nil"/>
              <w:left w:val="nil"/>
              <w:bottom w:val="nil"/>
              <w:right w:val="nil"/>
            </w:tcBorders>
            <w:shd w:val="clear" w:color="auto" w:fill="auto"/>
            <w:noWrap/>
            <w:vAlign w:val="bottom"/>
          </w:tcPr>
          <w:p w14:paraId="10057B21"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2437" w:type="pct"/>
            <w:tcBorders>
              <w:top w:val="nil"/>
              <w:left w:val="nil"/>
              <w:bottom w:val="nil"/>
              <w:right w:val="nil"/>
            </w:tcBorders>
            <w:shd w:val="clear" w:color="auto" w:fill="auto"/>
            <w:noWrap/>
            <w:vAlign w:val="bottom"/>
          </w:tcPr>
          <w:p w14:paraId="3D515AAF" w14:textId="1431E632" w:rsidR="00340E00" w:rsidRPr="008B39E1" w:rsidRDefault="00340E00" w:rsidP="000F0F5A">
            <w:pPr>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0.632***</w:t>
            </w:r>
          </w:p>
        </w:tc>
      </w:tr>
      <w:tr w:rsidR="00340E00" w:rsidRPr="008B39E1" w14:paraId="1B41F054" w14:textId="77777777" w:rsidTr="00BF499C">
        <w:trPr>
          <w:trHeight w:val="315"/>
        </w:trPr>
        <w:tc>
          <w:tcPr>
            <w:tcW w:w="2375" w:type="pct"/>
            <w:tcBorders>
              <w:top w:val="nil"/>
              <w:left w:val="nil"/>
              <w:bottom w:val="nil"/>
              <w:right w:val="nil"/>
            </w:tcBorders>
            <w:shd w:val="clear" w:color="auto" w:fill="auto"/>
            <w:noWrap/>
            <w:vAlign w:val="bottom"/>
            <w:hideMark/>
          </w:tcPr>
          <w:p w14:paraId="5693DAC1"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p>
        </w:tc>
        <w:tc>
          <w:tcPr>
            <w:tcW w:w="188" w:type="pct"/>
            <w:tcBorders>
              <w:top w:val="nil"/>
              <w:left w:val="nil"/>
              <w:bottom w:val="nil"/>
              <w:right w:val="nil"/>
            </w:tcBorders>
            <w:shd w:val="clear" w:color="auto" w:fill="auto"/>
            <w:noWrap/>
            <w:vAlign w:val="bottom"/>
            <w:hideMark/>
          </w:tcPr>
          <w:p w14:paraId="013BF87B"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37" w:type="pct"/>
            <w:tcBorders>
              <w:top w:val="nil"/>
              <w:left w:val="nil"/>
              <w:bottom w:val="nil"/>
              <w:right w:val="nil"/>
            </w:tcBorders>
            <w:shd w:val="clear" w:color="auto" w:fill="auto"/>
            <w:noWrap/>
            <w:vAlign w:val="bottom"/>
            <w:hideMark/>
          </w:tcPr>
          <w:p w14:paraId="74B83C67" w14:textId="46B33496"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(4.818)</w:t>
            </w:r>
          </w:p>
        </w:tc>
      </w:tr>
      <w:tr w:rsidR="00340E00" w:rsidRPr="008B39E1" w14:paraId="45DA1D0E" w14:textId="77777777" w:rsidTr="00BF499C">
        <w:trPr>
          <w:trHeight w:val="80"/>
        </w:trPr>
        <w:tc>
          <w:tcPr>
            <w:tcW w:w="2375" w:type="pct"/>
            <w:tcBorders>
              <w:top w:val="nil"/>
              <w:left w:val="nil"/>
              <w:bottom w:val="nil"/>
              <w:right w:val="nil"/>
            </w:tcBorders>
            <w:shd w:val="clear" w:color="auto" w:fill="auto"/>
            <w:noWrap/>
            <w:vAlign w:val="bottom"/>
            <w:hideMark/>
          </w:tcPr>
          <w:p w14:paraId="4BAD7891"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188" w:type="pct"/>
            <w:tcBorders>
              <w:top w:val="nil"/>
              <w:left w:val="nil"/>
              <w:bottom w:val="nil"/>
              <w:right w:val="nil"/>
            </w:tcBorders>
            <w:shd w:val="clear" w:color="auto" w:fill="auto"/>
            <w:noWrap/>
            <w:vAlign w:val="bottom"/>
            <w:hideMark/>
          </w:tcPr>
          <w:p w14:paraId="58F73967" w14:textId="77777777" w:rsidR="00340E00" w:rsidRPr="008B39E1" w:rsidRDefault="00340E00" w:rsidP="000F0F5A">
            <w:pPr>
              <w:spacing w:after="0" w:line="240" w:lineRule="auto"/>
              <w:rPr>
                <w:rFonts w:ascii="Times New Roman" w:eastAsia="Times New Roman" w:hAnsi="Times New Roman" w:cs="Times New Roman"/>
                <w:sz w:val="24"/>
                <w:szCs w:val="24"/>
              </w:rPr>
            </w:pPr>
          </w:p>
        </w:tc>
        <w:tc>
          <w:tcPr>
            <w:tcW w:w="2437" w:type="pct"/>
            <w:tcBorders>
              <w:top w:val="nil"/>
              <w:left w:val="nil"/>
              <w:bottom w:val="nil"/>
              <w:right w:val="nil"/>
            </w:tcBorders>
            <w:shd w:val="clear" w:color="auto" w:fill="auto"/>
            <w:noWrap/>
            <w:hideMark/>
          </w:tcPr>
          <w:p w14:paraId="1F61FF62" w14:textId="77777777" w:rsidR="00340E00" w:rsidRPr="008B39E1" w:rsidRDefault="00340E00" w:rsidP="000F0F5A">
            <w:pPr>
              <w:spacing w:after="0" w:line="240" w:lineRule="auto"/>
              <w:rPr>
                <w:rFonts w:ascii="Times New Roman" w:eastAsia="Times New Roman" w:hAnsi="Times New Roman" w:cs="Times New Roman"/>
                <w:sz w:val="24"/>
                <w:szCs w:val="24"/>
              </w:rPr>
            </w:pPr>
          </w:p>
        </w:tc>
      </w:tr>
      <w:tr w:rsidR="00340E00" w:rsidRPr="008B39E1" w14:paraId="435B88AB" w14:textId="77777777" w:rsidTr="00BF499C">
        <w:trPr>
          <w:trHeight w:val="315"/>
        </w:trPr>
        <w:tc>
          <w:tcPr>
            <w:tcW w:w="2375" w:type="pct"/>
            <w:tcBorders>
              <w:top w:val="nil"/>
              <w:left w:val="nil"/>
              <w:bottom w:val="nil"/>
              <w:right w:val="nil"/>
            </w:tcBorders>
            <w:shd w:val="clear" w:color="auto" w:fill="auto"/>
            <w:noWrap/>
            <w:vAlign w:val="center"/>
            <w:hideMark/>
          </w:tcPr>
          <w:p w14:paraId="5B9975EE"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Fixed Effects</w:t>
            </w:r>
          </w:p>
        </w:tc>
        <w:tc>
          <w:tcPr>
            <w:tcW w:w="188" w:type="pct"/>
            <w:tcBorders>
              <w:top w:val="nil"/>
              <w:left w:val="nil"/>
              <w:bottom w:val="nil"/>
              <w:right w:val="nil"/>
            </w:tcBorders>
            <w:shd w:val="clear" w:color="auto" w:fill="auto"/>
            <w:noWrap/>
            <w:vAlign w:val="center"/>
            <w:hideMark/>
          </w:tcPr>
          <w:p w14:paraId="294E0F1E" w14:textId="77777777"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p>
        </w:tc>
        <w:tc>
          <w:tcPr>
            <w:tcW w:w="2437" w:type="pct"/>
            <w:tcBorders>
              <w:top w:val="nil"/>
              <w:left w:val="nil"/>
              <w:bottom w:val="nil"/>
              <w:right w:val="nil"/>
            </w:tcBorders>
            <w:shd w:val="clear" w:color="auto" w:fill="auto"/>
            <w:noWrap/>
            <w:vAlign w:val="center"/>
            <w:hideMark/>
          </w:tcPr>
          <w:p w14:paraId="32A6BBB4" w14:textId="77777777"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Industry, Year</w:t>
            </w:r>
          </w:p>
        </w:tc>
      </w:tr>
      <w:tr w:rsidR="00340E00" w:rsidRPr="008B39E1" w14:paraId="5EE3A95D" w14:textId="77777777" w:rsidTr="00BF499C">
        <w:trPr>
          <w:trHeight w:val="315"/>
        </w:trPr>
        <w:tc>
          <w:tcPr>
            <w:tcW w:w="2375" w:type="pct"/>
            <w:tcBorders>
              <w:top w:val="nil"/>
              <w:left w:val="nil"/>
              <w:bottom w:val="nil"/>
              <w:right w:val="nil"/>
            </w:tcBorders>
            <w:shd w:val="clear" w:color="auto" w:fill="auto"/>
            <w:noWrap/>
            <w:vAlign w:val="center"/>
            <w:hideMark/>
          </w:tcPr>
          <w:p w14:paraId="2996D2E7"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Clustered SE</w:t>
            </w:r>
          </w:p>
        </w:tc>
        <w:tc>
          <w:tcPr>
            <w:tcW w:w="188" w:type="pct"/>
            <w:tcBorders>
              <w:top w:val="nil"/>
              <w:left w:val="nil"/>
              <w:bottom w:val="nil"/>
              <w:right w:val="nil"/>
            </w:tcBorders>
            <w:shd w:val="clear" w:color="auto" w:fill="auto"/>
            <w:noWrap/>
            <w:vAlign w:val="center"/>
            <w:hideMark/>
          </w:tcPr>
          <w:p w14:paraId="1A25A609" w14:textId="77777777"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p>
        </w:tc>
        <w:tc>
          <w:tcPr>
            <w:tcW w:w="2437" w:type="pct"/>
            <w:tcBorders>
              <w:top w:val="nil"/>
              <w:left w:val="nil"/>
              <w:bottom w:val="nil"/>
              <w:right w:val="nil"/>
            </w:tcBorders>
            <w:shd w:val="clear" w:color="auto" w:fill="auto"/>
            <w:noWrap/>
            <w:vAlign w:val="center"/>
            <w:hideMark/>
          </w:tcPr>
          <w:p w14:paraId="315F7100" w14:textId="77777777"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Firm</w:t>
            </w:r>
          </w:p>
        </w:tc>
      </w:tr>
      <w:tr w:rsidR="00340E00" w:rsidRPr="008B39E1" w14:paraId="5F732E3C" w14:textId="77777777" w:rsidTr="00BF499C">
        <w:trPr>
          <w:trHeight w:val="315"/>
        </w:trPr>
        <w:tc>
          <w:tcPr>
            <w:tcW w:w="2375" w:type="pct"/>
            <w:tcBorders>
              <w:top w:val="nil"/>
              <w:left w:val="nil"/>
              <w:right w:val="nil"/>
            </w:tcBorders>
            <w:shd w:val="clear" w:color="auto" w:fill="auto"/>
            <w:noWrap/>
            <w:vAlign w:val="center"/>
            <w:hideMark/>
          </w:tcPr>
          <w:p w14:paraId="5EE5458D"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N</w:t>
            </w:r>
          </w:p>
        </w:tc>
        <w:tc>
          <w:tcPr>
            <w:tcW w:w="188" w:type="pct"/>
            <w:tcBorders>
              <w:top w:val="nil"/>
              <w:left w:val="nil"/>
              <w:right w:val="nil"/>
            </w:tcBorders>
            <w:shd w:val="clear" w:color="auto" w:fill="auto"/>
            <w:noWrap/>
            <w:vAlign w:val="center"/>
            <w:hideMark/>
          </w:tcPr>
          <w:p w14:paraId="1CAA1A3A" w14:textId="77777777"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p>
        </w:tc>
        <w:tc>
          <w:tcPr>
            <w:tcW w:w="2437" w:type="pct"/>
            <w:tcBorders>
              <w:top w:val="nil"/>
              <w:left w:val="nil"/>
              <w:right w:val="nil"/>
            </w:tcBorders>
            <w:shd w:val="clear" w:color="auto" w:fill="auto"/>
            <w:noWrap/>
            <w:vAlign w:val="bottom"/>
            <w:hideMark/>
          </w:tcPr>
          <w:p w14:paraId="44BCDB0B" w14:textId="49BF30F1"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3</w:t>
            </w:r>
            <w:r w:rsidR="006C37C1" w:rsidRPr="008B39E1">
              <w:rPr>
                <w:rFonts w:ascii="Times New Roman" w:hAnsi="Times New Roman" w:cs="Times New Roman"/>
                <w:color w:val="000000"/>
                <w:sz w:val="24"/>
                <w:szCs w:val="24"/>
              </w:rPr>
              <w:t>,</w:t>
            </w:r>
            <w:r w:rsidRPr="008B39E1">
              <w:rPr>
                <w:rFonts w:ascii="Times New Roman" w:hAnsi="Times New Roman" w:cs="Times New Roman"/>
                <w:color w:val="000000"/>
                <w:sz w:val="24"/>
                <w:szCs w:val="24"/>
              </w:rPr>
              <w:t>576</w:t>
            </w:r>
          </w:p>
        </w:tc>
      </w:tr>
      <w:tr w:rsidR="00340E00" w:rsidRPr="008B39E1" w14:paraId="0D554205" w14:textId="77777777" w:rsidTr="00BF499C">
        <w:trPr>
          <w:trHeight w:val="375"/>
        </w:trPr>
        <w:tc>
          <w:tcPr>
            <w:tcW w:w="2375" w:type="pct"/>
            <w:tcBorders>
              <w:top w:val="nil"/>
              <w:left w:val="nil"/>
              <w:bottom w:val="single" w:sz="4" w:space="0" w:color="auto"/>
              <w:right w:val="nil"/>
            </w:tcBorders>
            <w:shd w:val="clear" w:color="auto" w:fill="auto"/>
            <w:noWrap/>
            <w:vAlign w:val="center"/>
            <w:hideMark/>
          </w:tcPr>
          <w:p w14:paraId="60C19880" w14:textId="77777777" w:rsidR="00340E00" w:rsidRPr="008B39E1" w:rsidRDefault="00340E00"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Adj.-R</w:t>
            </w:r>
            <w:r w:rsidRPr="008B39E1">
              <w:rPr>
                <w:rFonts w:ascii="Times New Roman" w:eastAsia="Times New Roman" w:hAnsi="Times New Roman" w:cs="Times New Roman"/>
                <w:color w:val="000000"/>
                <w:sz w:val="24"/>
                <w:szCs w:val="24"/>
                <w:vertAlign w:val="superscript"/>
              </w:rPr>
              <w:t>2</w:t>
            </w:r>
          </w:p>
        </w:tc>
        <w:tc>
          <w:tcPr>
            <w:tcW w:w="188" w:type="pct"/>
            <w:tcBorders>
              <w:top w:val="nil"/>
              <w:left w:val="nil"/>
              <w:bottom w:val="single" w:sz="4" w:space="0" w:color="auto"/>
              <w:right w:val="nil"/>
            </w:tcBorders>
            <w:shd w:val="clear" w:color="auto" w:fill="auto"/>
            <w:noWrap/>
            <w:vAlign w:val="center"/>
            <w:hideMark/>
          </w:tcPr>
          <w:p w14:paraId="7E044522" w14:textId="77777777"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p>
        </w:tc>
        <w:tc>
          <w:tcPr>
            <w:tcW w:w="2437" w:type="pct"/>
            <w:tcBorders>
              <w:top w:val="nil"/>
              <w:left w:val="nil"/>
              <w:bottom w:val="single" w:sz="4" w:space="0" w:color="auto"/>
              <w:right w:val="nil"/>
            </w:tcBorders>
            <w:shd w:val="clear" w:color="auto" w:fill="auto"/>
            <w:noWrap/>
            <w:vAlign w:val="bottom"/>
            <w:hideMark/>
          </w:tcPr>
          <w:p w14:paraId="04DD1301" w14:textId="181FAE3A" w:rsidR="00340E00" w:rsidRPr="008B39E1" w:rsidRDefault="00340E00"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0.208</w:t>
            </w:r>
          </w:p>
        </w:tc>
      </w:tr>
    </w:tbl>
    <w:p w14:paraId="0228B95E" w14:textId="77777777" w:rsidR="00576C11" w:rsidRPr="008B39E1" w:rsidRDefault="00576C11" w:rsidP="000F0F5A">
      <w:pPr>
        <w:spacing w:after="0" w:line="240" w:lineRule="auto"/>
        <w:rPr>
          <w:rFonts w:ascii="Times New Roman" w:hAnsi="Times New Roman" w:cs="Times New Roman"/>
          <w:b/>
          <w:bCs/>
          <w:sz w:val="24"/>
          <w:szCs w:val="24"/>
        </w:rPr>
      </w:pPr>
    </w:p>
    <w:p w14:paraId="37ECFE79"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7B79AAFC"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5B5664B4"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2F83A0E2"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237F13BC"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1786FC32"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1C56D834"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4E78391D"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72E2D880"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1FA6109A"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19D248CB"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60B683AA"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7D15B4F5" w14:textId="77777777" w:rsidR="00BF499C" w:rsidRPr="008B39E1" w:rsidRDefault="00BF499C" w:rsidP="000F0F5A">
      <w:pPr>
        <w:spacing w:after="0" w:line="240" w:lineRule="auto"/>
        <w:rPr>
          <w:rFonts w:ascii="Times New Roman" w:eastAsia="Times New Roman" w:hAnsi="Times New Roman" w:cs="Times New Roman"/>
          <w:color w:val="000000"/>
          <w:sz w:val="20"/>
          <w:szCs w:val="20"/>
        </w:rPr>
      </w:pPr>
    </w:p>
    <w:p w14:paraId="7FC9977D" w14:textId="77777777" w:rsidR="005A4834" w:rsidRDefault="005A4834" w:rsidP="000F0F5A">
      <w:pPr>
        <w:spacing w:after="0" w:line="240" w:lineRule="auto"/>
        <w:rPr>
          <w:rFonts w:ascii="Times New Roman" w:eastAsia="Times New Roman" w:hAnsi="Times New Roman" w:cs="Times New Roman"/>
          <w:color w:val="000000"/>
          <w:sz w:val="20"/>
          <w:szCs w:val="20"/>
        </w:rPr>
      </w:pPr>
    </w:p>
    <w:p w14:paraId="2D14FC55" w14:textId="5D27BF10" w:rsidR="00576C11" w:rsidRPr="008B39E1" w:rsidRDefault="00CF4198" w:rsidP="000F0F5A">
      <w:pPr>
        <w:spacing w:after="0" w:line="240" w:lineRule="auto"/>
        <w:rPr>
          <w:rFonts w:ascii="Times New Roman" w:hAnsi="Times New Roman" w:cs="Times New Roman"/>
          <w:i/>
          <w:iCs/>
          <w:sz w:val="20"/>
          <w:szCs w:val="20"/>
        </w:rPr>
      </w:pPr>
      <w:r w:rsidRPr="008B39E1">
        <w:rPr>
          <w:rFonts w:ascii="Times New Roman" w:eastAsia="Times New Roman" w:hAnsi="Times New Roman" w:cs="Times New Roman"/>
          <w:color w:val="000000"/>
          <w:sz w:val="20"/>
          <w:szCs w:val="20"/>
        </w:rPr>
        <w:t>***, **, and * indicate significance at the 0.01, 0.05, and 0.10 levels, respectively, using two-tailed tests. Robust standard errors are clustered at the unique firm level. We present t-</w:t>
      </w:r>
      <w:proofErr w:type="gramStart"/>
      <w:r w:rsidRPr="008B39E1">
        <w:rPr>
          <w:rFonts w:ascii="Times New Roman" w:eastAsia="Times New Roman" w:hAnsi="Times New Roman" w:cs="Times New Roman"/>
          <w:color w:val="000000"/>
          <w:sz w:val="20"/>
          <w:szCs w:val="20"/>
        </w:rPr>
        <w:t>statistic</w:t>
      </w:r>
      <w:proofErr w:type="gramEnd"/>
      <w:r w:rsidRPr="008B39E1">
        <w:rPr>
          <w:rFonts w:ascii="Times New Roman" w:eastAsia="Times New Roman" w:hAnsi="Times New Roman" w:cs="Times New Roman"/>
          <w:color w:val="000000"/>
          <w:sz w:val="20"/>
          <w:szCs w:val="20"/>
        </w:rPr>
        <w:t xml:space="preserve"> in parentheses for each variable. See Appendix A for variable definitions.</w:t>
      </w:r>
      <w:r w:rsidR="005A4834">
        <w:rPr>
          <w:rFonts w:ascii="Times New Roman" w:eastAsia="Times New Roman" w:hAnsi="Times New Roman" w:cs="Times New Roman"/>
          <w:color w:val="000000"/>
          <w:sz w:val="20"/>
          <w:szCs w:val="20"/>
        </w:rPr>
        <w:t xml:space="preserve"> Source: Authors own work.</w:t>
      </w:r>
    </w:p>
    <w:p w14:paraId="0C8F778C" w14:textId="77777777" w:rsidR="00576C11" w:rsidRPr="008B39E1" w:rsidRDefault="00576C11" w:rsidP="000F0F5A">
      <w:pPr>
        <w:spacing w:after="0" w:line="240" w:lineRule="auto"/>
        <w:rPr>
          <w:rFonts w:ascii="Times New Roman" w:hAnsi="Times New Roman" w:cs="Times New Roman"/>
          <w:sz w:val="24"/>
          <w:szCs w:val="24"/>
        </w:rPr>
      </w:pPr>
    </w:p>
    <w:p w14:paraId="76E9FDF0"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09BFD65A"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1F8EFF68"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62179A76" w14:textId="77777777" w:rsidR="00340E00" w:rsidRPr="008B39E1" w:rsidRDefault="00340E00" w:rsidP="000F0F5A">
      <w:pPr>
        <w:spacing w:after="0" w:line="240" w:lineRule="auto"/>
        <w:jc w:val="center"/>
        <w:rPr>
          <w:rFonts w:ascii="Times New Roman" w:hAnsi="Times New Roman" w:cs="Times New Roman"/>
          <w:b/>
          <w:bCs/>
          <w:sz w:val="24"/>
          <w:szCs w:val="24"/>
        </w:rPr>
      </w:pPr>
    </w:p>
    <w:p w14:paraId="5DD0227F" w14:textId="77777777" w:rsidR="00340E00" w:rsidRPr="008B39E1" w:rsidRDefault="00340E00" w:rsidP="000F0F5A">
      <w:pPr>
        <w:spacing w:after="0" w:line="240" w:lineRule="auto"/>
        <w:jc w:val="center"/>
        <w:rPr>
          <w:rFonts w:ascii="Times New Roman" w:hAnsi="Times New Roman" w:cs="Times New Roman"/>
          <w:b/>
          <w:bCs/>
          <w:sz w:val="24"/>
          <w:szCs w:val="24"/>
        </w:rPr>
      </w:pPr>
    </w:p>
    <w:p w14:paraId="4BE901E9"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44FB2C46"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72DE5118"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55D9F37D"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255EE04C"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43CF8DF0"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0C851139"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67F273CC"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49CA1558"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1D64B5E6"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773F7E4E"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1D591DA4"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7C5E6E65"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11A2915F"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6480E6C5"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413B24AF"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01D362CE"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6D66E8CE"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35436FE9"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6ED84CBE" w14:textId="77777777" w:rsidR="000D624C" w:rsidRPr="008B39E1" w:rsidRDefault="000D624C" w:rsidP="000F0F5A">
      <w:pPr>
        <w:spacing w:after="0" w:line="240" w:lineRule="auto"/>
        <w:jc w:val="center"/>
        <w:rPr>
          <w:rFonts w:ascii="Times New Roman" w:hAnsi="Times New Roman" w:cs="Times New Roman"/>
          <w:b/>
          <w:bCs/>
          <w:sz w:val="24"/>
          <w:szCs w:val="24"/>
        </w:rPr>
      </w:pPr>
    </w:p>
    <w:p w14:paraId="5CE4F7BC" w14:textId="77777777" w:rsidR="003E1DF8" w:rsidRPr="008B39E1" w:rsidRDefault="003E1DF8" w:rsidP="000F0F5A">
      <w:pPr>
        <w:spacing w:after="0" w:line="240" w:lineRule="auto"/>
        <w:rPr>
          <w:rFonts w:ascii="Times New Roman" w:hAnsi="Times New Roman" w:cs="Times New Roman"/>
          <w:b/>
          <w:bCs/>
          <w:sz w:val="24"/>
          <w:szCs w:val="24"/>
        </w:rPr>
      </w:pPr>
    </w:p>
    <w:p w14:paraId="662C744F" w14:textId="77777777" w:rsidR="00F3020F" w:rsidRDefault="00F3020F" w:rsidP="000F0F5A">
      <w:pPr>
        <w:spacing w:after="0" w:line="240" w:lineRule="auto"/>
        <w:jc w:val="center"/>
        <w:rPr>
          <w:rFonts w:ascii="Times New Roman" w:hAnsi="Times New Roman" w:cs="Times New Roman"/>
          <w:b/>
          <w:bCs/>
          <w:sz w:val="24"/>
          <w:szCs w:val="24"/>
        </w:rPr>
      </w:pPr>
    </w:p>
    <w:p w14:paraId="37005E8F" w14:textId="77777777" w:rsidR="00F3020F" w:rsidRDefault="00F3020F" w:rsidP="000F0F5A">
      <w:pPr>
        <w:spacing w:after="0" w:line="240" w:lineRule="auto"/>
        <w:jc w:val="center"/>
        <w:rPr>
          <w:rFonts w:ascii="Times New Roman" w:hAnsi="Times New Roman" w:cs="Times New Roman"/>
          <w:b/>
          <w:bCs/>
          <w:sz w:val="24"/>
          <w:szCs w:val="24"/>
        </w:rPr>
      </w:pPr>
    </w:p>
    <w:p w14:paraId="58FEF934" w14:textId="5276EA1E" w:rsidR="00576C11" w:rsidRPr="008B39E1" w:rsidRDefault="00DC55B9"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lastRenderedPageBreak/>
        <w:t>TABLE IV</w:t>
      </w:r>
    </w:p>
    <w:p w14:paraId="48AB12D6" w14:textId="44D900E2" w:rsidR="00576C11" w:rsidRPr="008B39E1" w:rsidRDefault="00576C11"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Headquarters Relocation</w:t>
      </w:r>
      <w:r w:rsidR="008B6E48" w:rsidRPr="008B39E1">
        <w:rPr>
          <w:rFonts w:ascii="Times New Roman" w:hAnsi="Times New Roman" w:cs="Times New Roman"/>
          <w:b/>
          <w:bCs/>
          <w:sz w:val="24"/>
          <w:szCs w:val="24"/>
        </w:rPr>
        <w:t>,</w:t>
      </w:r>
      <w:r w:rsidR="004C2934" w:rsidRPr="008B39E1">
        <w:rPr>
          <w:rFonts w:ascii="Times New Roman" w:hAnsi="Times New Roman" w:cs="Times New Roman"/>
          <w:b/>
          <w:bCs/>
          <w:sz w:val="24"/>
          <w:szCs w:val="24"/>
        </w:rPr>
        <w:t xml:space="preserve"> Social Capital Change</w:t>
      </w:r>
      <w:r w:rsidRPr="008B39E1">
        <w:rPr>
          <w:rFonts w:ascii="Times New Roman" w:hAnsi="Times New Roman" w:cs="Times New Roman"/>
          <w:b/>
          <w:bCs/>
          <w:sz w:val="24"/>
          <w:szCs w:val="24"/>
        </w:rPr>
        <w:t xml:space="preserve"> and Internal Control Ineffectiveness</w:t>
      </w:r>
    </w:p>
    <w:p w14:paraId="65FE7880" w14:textId="77777777" w:rsidR="00576C11" w:rsidRPr="008B39E1" w:rsidRDefault="00576C11" w:rsidP="000F0F5A">
      <w:pPr>
        <w:spacing w:after="0" w:line="240" w:lineRule="auto"/>
        <w:jc w:val="center"/>
        <w:rPr>
          <w:rFonts w:ascii="Times New Roman" w:hAnsi="Times New Roman" w:cs="Times New Roman"/>
          <w:b/>
          <w:bCs/>
          <w:sz w:val="24"/>
          <w:szCs w:val="24"/>
        </w:rPr>
      </w:pPr>
    </w:p>
    <w:tbl>
      <w:tblPr>
        <w:tblW w:w="5000" w:type="pct"/>
        <w:tblLayout w:type="fixed"/>
        <w:tblLook w:val="04A0" w:firstRow="1" w:lastRow="0" w:firstColumn="1" w:lastColumn="0" w:noHBand="0" w:noVBand="1"/>
      </w:tblPr>
      <w:tblGrid>
        <w:gridCol w:w="2977"/>
        <w:gridCol w:w="272"/>
        <w:gridCol w:w="1019"/>
        <w:gridCol w:w="1018"/>
        <w:gridCol w:w="1020"/>
        <w:gridCol w:w="1018"/>
        <w:gridCol w:w="1018"/>
        <w:gridCol w:w="1018"/>
      </w:tblGrid>
      <w:tr w:rsidR="00382F90" w:rsidRPr="008B39E1" w14:paraId="3E020FBC" w14:textId="58393B07" w:rsidTr="00FC3E8B">
        <w:trPr>
          <w:trHeight w:val="315"/>
        </w:trPr>
        <w:tc>
          <w:tcPr>
            <w:tcW w:w="1590" w:type="pct"/>
            <w:tcBorders>
              <w:top w:val="nil"/>
              <w:left w:val="nil"/>
              <w:bottom w:val="nil"/>
              <w:right w:val="nil"/>
            </w:tcBorders>
            <w:shd w:val="clear" w:color="auto" w:fill="auto"/>
            <w:noWrap/>
            <w:vAlign w:val="bottom"/>
            <w:hideMark/>
          </w:tcPr>
          <w:p w14:paraId="6E61C1C1" w14:textId="77777777" w:rsidR="003A2FCF" w:rsidRPr="008B39E1" w:rsidRDefault="003A2FCF" w:rsidP="000F0F5A">
            <w:pPr>
              <w:spacing w:after="0" w:line="240" w:lineRule="auto"/>
              <w:ind w:firstLineChars="100" w:firstLine="200"/>
              <w:rPr>
                <w:rFonts w:ascii="Times New Roman" w:eastAsia="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hideMark/>
          </w:tcPr>
          <w:p w14:paraId="37530199" w14:textId="77777777" w:rsidR="003A2FCF" w:rsidRPr="008B39E1" w:rsidRDefault="003A2FCF" w:rsidP="000F0F5A">
            <w:pPr>
              <w:spacing w:after="0" w:line="240" w:lineRule="auto"/>
              <w:ind w:firstLineChars="100" w:firstLine="200"/>
              <w:rPr>
                <w:rFonts w:ascii="Times New Roman" w:eastAsia="Times New Roman" w:hAnsi="Times New Roman" w:cs="Times New Roman"/>
                <w:color w:val="000000"/>
                <w:sz w:val="20"/>
                <w:szCs w:val="20"/>
              </w:rPr>
            </w:pPr>
          </w:p>
        </w:tc>
        <w:tc>
          <w:tcPr>
            <w:tcW w:w="3264" w:type="pct"/>
            <w:gridSpan w:val="6"/>
            <w:tcBorders>
              <w:top w:val="nil"/>
              <w:left w:val="nil"/>
              <w:bottom w:val="single" w:sz="4" w:space="0" w:color="auto"/>
              <w:right w:val="nil"/>
            </w:tcBorders>
            <w:shd w:val="clear" w:color="auto" w:fill="auto"/>
          </w:tcPr>
          <w:p w14:paraId="269A60B3" w14:textId="6C1A7956" w:rsidR="003A2FCF" w:rsidRPr="008B39E1" w:rsidRDefault="003A2FCF" w:rsidP="000F0F5A">
            <w:pPr>
              <w:spacing w:after="0" w:line="240" w:lineRule="auto"/>
              <w:jc w:val="center"/>
              <w:rPr>
                <w:rFonts w:ascii="Times New Roman" w:eastAsia="Times New Roman" w:hAnsi="Times New Roman" w:cs="Times New Roman"/>
                <w:i/>
                <w:iCs/>
                <w:color w:val="000000"/>
                <w:sz w:val="20"/>
                <w:szCs w:val="20"/>
              </w:rPr>
            </w:pPr>
            <w:r w:rsidRPr="008B39E1">
              <w:rPr>
                <w:rFonts w:ascii="Times New Roman" w:eastAsia="Times New Roman" w:hAnsi="Times New Roman" w:cs="Times New Roman"/>
                <w:i/>
                <w:iCs/>
                <w:color w:val="000000"/>
                <w:sz w:val="20"/>
                <w:szCs w:val="20"/>
              </w:rPr>
              <w:t xml:space="preserve">Dependent Variable: </w:t>
            </w:r>
            <w:proofErr w:type="spellStart"/>
            <w:r w:rsidRPr="008B39E1">
              <w:rPr>
                <w:rFonts w:ascii="Times New Roman" w:eastAsia="Times New Roman" w:hAnsi="Times New Roman" w:cs="Times New Roman"/>
                <w:i/>
                <w:iCs/>
                <w:color w:val="000000"/>
                <w:sz w:val="20"/>
                <w:szCs w:val="20"/>
              </w:rPr>
              <w:t>ICINEFF</w:t>
            </w:r>
            <w:proofErr w:type="spellEnd"/>
          </w:p>
        </w:tc>
      </w:tr>
      <w:tr w:rsidR="006E3FCC" w:rsidRPr="008B39E1" w14:paraId="4B468DD4" w14:textId="77777777" w:rsidTr="006E3FCC">
        <w:trPr>
          <w:trHeight w:val="315"/>
        </w:trPr>
        <w:tc>
          <w:tcPr>
            <w:tcW w:w="1590" w:type="pct"/>
            <w:tcBorders>
              <w:top w:val="nil"/>
              <w:left w:val="nil"/>
              <w:bottom w:val="single" w:sz="4" w:space="0" w:color="auto"/>
              <w:right w:val="nil"/>
            </w:tcBorders>
            <w:shd w:val="clear" w:color="auto" w:fill="auto"/>
            <w:noWrap/>
            <w:vAlign w:val="bottom"/>
          </w:tcPr>
          <w:p w14:paraId="565DE680" w14:textId="77777777" w:rsidR="006E3FCC" w:rsidRPr="008B39E1" w:rsidRDefault="006E3FCC"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6B60B0A3" w14:textId="77777777" w:rsidR="006E3FCC" w:rsidRPr="008B39E1" w:rsidRDefault="006E3FCC" w:rsidP="000F0F5A">
            <w:pPr>
              <w:spacing w:after="0" w:line="240" w:lineRule="auto"/>
              <w:rPr>
                <w:rFonts w:ascii="Times New Roman" w:eastAsia="Times New Roman" w:hAnsi="Times New Roman" w:cs="Times New Roman"/>
                <w:color w:val="000000"/>
                <w:sz w:val="20"/>
                <w:szCs w:val="20"/>
              </w:rPr>
            </w:pPr>
          </w:p>
        </w:tc>
        <w:tc>
          <w:tcPr>
            <w:tcW w:w="1088" w:type="pct"/>
            <w:gridSpan w:val="2"/>
            <w:tcBorders>
              <w:top w:val="nil"/>
              <w:left w:val="nil"/>
              <w:bottom w:val="single" w:sz="4" w:space="0" w:color="auto"/>
              <w:right w:val="nil"/>
            </w:tcBorders>
            <w:shd w:val="clear" w:color="auto" w:fill="auto"/>
            <w:noWrap/>
          </w:tcPr>
          <w:p w14:paraId="041D01E2" w14:textId="405B3BB4" w:rsidR="006E3FCC" w:rsidRPr="008B39E1" w:rsidRDefault="006E3FCC"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social capital</w:t>
            </w:r>
          </w:p>
        </w:tc>
        <w:tc>
          <w:tcPr>
            <w:tcW w:w="1089" w:type="pct"/>
            <w:gridSpan w:val="2"/>
            <w:tcBorders>
              <w:top w:val="nil"/>
              <w:left w:val="nil"/>
              <w:bottom w:val="single" w:sz="4" w:space="0" w:color="auto"/>
              <w:right w:val="nil"/>
            </w:tcBorders>
          </w:tcPr>
          <w:p w14:paraId="49DCA101" w14:textId="22703F50" w:rsidR="006E3FCC" w:rsidRPr="008B39E1" w:rsidRDefault="006E3FCC"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Norms</w:t>
            </w:r>
          </w:p>
        </w:tc>
        <w:tc>
          <w:tcPr>
            <w:tcW w:w="1088" w:type="pct"/>
            <w:gridSpan w:val="2"/>
            <w:tcBorders>
              <w:top w:val="nil"/>
              <w:left w:val="nil"/>
              <w:bottom w:val="single" w:sz="4" w:space="0" w:color="auto"/>
              <w:right w:val="nil"/>
            </w:tcBorders>
          </w:tcPr>
          <w:p w14:paraId="5CFC0487" w14:textId="7D2D9738" w:rsidR="006E3FCC" w:rsidRPr="008B39E1" w:rsidRDefault="006E3FCC"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Network</w:t>
            </w:r>
            <w:r w:rsidR="003C11F0" w:rsidRPr="008B39E1">
              <w:rPr>
                <w:rFonts w:ascii="Times New Roman" w:eastAsia="Times New Roman" w:hAnsi="Times New Roman" w:cs="Times New Roman"/>
                <w:color w:val="000000"/>
                <w:sz w:val="20"/>
                <w:szCs w:val="20"/>
              </w:rPr>
              <w:t>s</w:t>
            </w:r>
          </w:p>
        </w:tc>
      </w:tr>
      <w:tr w:rsidR="00BC2548" w:rsidRPr="008B39E1" w14:paraId="71D43CD7" w14:textId="13AEC523" w:rsidTr="00FC3E8B">
        <w:trPr>
          <w:trHeight w:val="315"/>
        </w:trPr>
        <w:tc>
          <w:tcPr>
            <w:tcW w:w="1590" w:type="pct"/>
            <w:tcBorders>
              <w:top w:val="nil"/>
              <w:left w:val="nil"/>
              <w:bottom w:val="single" w:sz="4" w:space="0" w:color="auto"/>
              <w:right w:val="nil"/>
            </w:tcBorders>
            <w:shd w:val="clear" w:color="auto" w:fill="auto"/>
            <w:noWrap/>
            <w:vAlign w:val="bottom"/>
          </w:tcPr>
          <w:p w14:paraId="70226D4B" w14:textId="77777777" w:rsidR="003A2FCF" w:rsidRPr="008B39E1" w:rsidRDefault="003A2FCF"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73C7D9D1" w14:textId="77777777" w:rsidR="003A2FCF" w:rsidRPr="008B39E1" w:rsidRDefault="003A2FCF"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single" w:sz="4" w:space="0" w:color="auto"/>
              <w:right w:val="nil"/>
            </w:tcBorders>
            <w:shd w:val="clear" w:color="auto" w:fill="auto"/>
            <w:noWrap/>
          </w:tcPr>
          <w:p w14:paraId="683C7152" w14:textId="7A4D8363" w:rsidR="003A2FCF" w:rsidRPr="008B39E1" w:rsidRDefault="005532F9"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(1)</w:t>
            </w:r>
          </w:p>
        </w:tc>
        <w:tc>
          <w:tcPr>
            <w:tcW w:w="544" w:type="pct"/>
            <w:tcBorders>
              <w:top w:val="nil"/>
              <w:left w:val="nil"/>
              <w:bottom w:val="single" w:sz="4" w:space="0" w:color="auto"/>
              <w:right w:val="nil"/>
            </w:tcBorders>
          </w:tcPr>
          <w:p w14:paraId="5F1F5EAD" w14:textId="4F8B51F5" w:rsidR="003A2FCF" w:rsidRPr="008B39E1" w:rsidRDefault="005532F9"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(2)</w:t>
            </w:r>
          </w:p>
        </w:tc>
        <w:tc>
          <w:tcPr>
            <w:tcW w:w="545" w:type="pct"/>
            <w:tcBorders>
              <w:top w:val="nil"/>
              <w:left w:val="nil"/>
              <w:bottom w:val="single" w:sz="4" w:space="0" w:color="auto"/>
              <w:right w:val="nil"/>
            </w:tcBorders>
          </w:tcPr>
          <w:p w14:paraId="56CACD96" w14:textId="342FA41C" w:rsidR="003A2FCF" w:rsidRPr="008B39E1" w:rsidRDefault="005532F9"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(3)</w:t>
            </w:r>
          </w:p>
        </w:tc>
        <w:tc>
          <w:tcPr>
            <w:tcW w:w="544" w:type="pct"/>
            <w:tcBorders>
              <w:top w:val="nil"/>
              <w:left w:val="nil"/>
              <w:bottom w:val="single" w:sz="4" w:space="0" w:color="auto"/>
              <w:right w:val="nil"/>
            </w:tcBorders>
          </w:tcPr>
          <w:p w14:paraId="4FC4B40F" w14:textId="5E83F77F" w:rsidR="003A2FCF" w:rsidRPr="008B39E1" w:rsidRDefault="005532F9"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(4)</w:t>
            </w:r>
          </w:p>
        </w:tc>
        <w:tc>
          <w:tcPr>
            <w:tcW w:w="544" w:type="pct"/>
            <w:tcBorders>
              <w:top w:val="nil"/>
              <w:left w:val="nil"/>
              <w:bottom w:val="single" w:sz="4" w:space="0" w:color="auto"/>
              <w:right w:val="nil"/>
            </w:tcBorders>
          </w:tcPr>
          <w:p w14:paraId="62AA4B7A" w14:textId="5BFF0836" w:rsidR="003A2FCF" w:rsidRPr="008B39E1" w:rsidRDefault="005532F9"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(5)</w:t>
            </w:r>
          </w:p>
        </w:tc>
        <w:tc>
          <w:tcPr>
            <w:tcW w:w="544" w:type="pct"/>
            <w:tcBorders>
              <w:top w:val="nil"/>
              <w:left w:val="nil"/>
              <w:bottom w:val="single" w:sz="4" w:space="0" w:color="auto"/>
              <w:right w:val="nil"/>
            </w:tcBorders>
          </w:tcPr>
          <w:p w14:paraId="32CD7A6D" w14:textId="6E9DC5D3" w:rsidR="003A2FCF" w:rsidRPr="008B39E1" w:rsidRDefault="005532F9"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(6)</w:t>
            </w:r>
          </w:p>
        </w:tc>
      </w:tr>
      <w:tr w:rsidR="00BC2548" w:rsidRPr="008B39E1" w14:paraId="7C2C3B61" w14:textId="77777777" w:rsidTr="00FC3E8B">
        <w:trPr>
          <w:trHeight w:val="315"/>
        </w:trPr>
        <w:tc>
          <w:tcPr>
            <w:tcW w:w="1590" w:type="pct"/>
            <w:tcBorders>
              <w:top w:val="nil"/>
              <w:left w:val="nil"/>
              <w:bottom w:val="single" w:sz="4" w:space="0" w:color="auto"/>
              <w:right w:val="nil"/>
            </w:tcBorders>
            <w:shd w:val="clear" w:color="auto" w:fill="auto"/>
            <w:noWrap/>
            <w:vAlign w:val="bottom"/>
          </w:tcPr>
          <w:p w14:paraId="450AB14C" w14:textId="77777777" w:rsidR="00812B58" w:rsidRPr="008B39E1" w:rsidRDefault="00812B58"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46409790" w14:textId="77777777" w:rsidR="00812B58" w:rsidRPr="008B39E1" w:rsidRDefault="00812B58"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single" w:sz="4" w:space="0" w:color="auto"/>
              <w:right w:val="nil"/>
            </w:tcBorders>
            <w:shd w:val="clear" w:color="auto" w:fill="auto"/>
            <w:noWrap/>
          </w:tcPr>
          <w:p w14:paraId="59385583" w14:textId="77777777"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370338D1" w14:textId="0F522642"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3C04BC8B" w14:textId="77777777"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11A78B09" w14:textId="1CC1E5F5"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5" w:type="pct"/>
            <w:tcBorders>
              <w:top w:val="nil"/>
              <w:left w:val="nil"/>
              <w:bottom w:val="single" w:sz="4" w:space="0" w:color="auto"/>
              <w:right w:val="nil"/>
            </w:tcBorders>
          </w:tcPr>
          <w:p w14:paraId="3B74738F" w14:textId="77777777"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638D9B54" w14:textId="7D82147B"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0BDBF655" w14:textId="77777777"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4A8CD529" w14:textId="1085D7E0"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3DB4A67E" w14:textId="77777777"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17DA5219" w14:textId="56640544"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2076D9DA" w14:textId="77777777"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2D8C5882" w14:textId="0A9041FC" w:rsidR="00812B58" w:rsidRPr="008B39E1" w:rsidRDefault="00812B5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r>
      <w:tr w:rsidR="00BC2548" w:rsidRPr="008B39E1" w14:paraId="1173340D" w14:textId="4E316BD5" w:rsidTr="00FC3E8B">
        <w:trPr>
          <w:trHeight w:val="135"/>
        </w:trPr>
        <w:tc>
          <w:tcPr>
            <w:tcW w:w="1590" w:type="pct"/>
            <w:tcBorders>
              <w:top w:val="nil"/>
              <w:left w:val="nil"/>
              <w:bottom w:val="nil"/>
              <w:right w:val="nil"/>
            </w:tcBorders>
            <w:shd w:val="clear" w:color="auto" w:fill="auto"/>
            <w:noWrap/>
            <w:vAlign w:val="bottom"/>
            <w:hideMark/>
          </w:tcPr>
          <w:p w14:paraId="762EED14" w14:textId="77777777" w:rsidR="003A2FCF" w:rsidRPr="008B39E1" w:rsidRDefault="003A2FCF"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nil"/>
              <w:right w:val="nil"/>
            </w:tcBorders>
            <w:shd w:val="clear" w:color="auto" w:fill="auto"/>
            <w:noWrap/>
            <w:vAlign w:val="bottom"/>
            <w:hideMark/>
          </w:tcPr>
          <w:p w14:paraId="014A048B" w14:textId="77777777" w:rsidR="003A2FCF" w:rsidRPr="008B39E1" w:rsidRDefault="003A2FCF"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hideMark/>
          </w:tcPr>
          <w:p w14:paraId="0F9CE7BF" w14:textId="77777777" w:rsidR="003A2FCF" w:rsidRPr="008B39E1" w:rsidRDefault="003A2FCF"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72504EE3" w14:textId="77777777" w:rsidR="003A2FCF" w:rsidRPr="008B39E1" w:rsidRDefault="003A2FCF" w:rsidP="000F0F5A">
            <w:pPr>
              <w:spacing w:after="0" w:line="240" w:lineRule="auto"/>
              <w:rPr>
                <w:rFonts w:ascii="Times New Roman" w:eastAsia="Times New Roman" w:hAnsi="Times New Roman" w:cs="Times New Roman"/>
                <w:sz w:val="20"/>
                <w:szCs w:val="20"/>
              </w:rPr>
            </w:pPr>
          </w:p>
        </w:tc>
        <w:tc>
          <w:tcPr>
            <w:tcW w:w="545" w:type="pct"/>
            <w:tcBorders>
              <w:top w:val="nil"/>
              <w:left w:val="nil"/>
              <w:bottom w:val="nil"/>
              <w:right w:val="nil"/>
            </w:tcBorders>
          </w:tcPr>
          <w:p w14:paraId="2E23187E" w14:textId="7B8D2EFB" w:rsidR="003A2FCF" w:rsidRPr="008B39E1" w:rsidRDefault="003A2FCF"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5065275A" w14:textId="24641269" w:rsidR="003A2FCF" w:rsidRPr="008B39E1" w:rsidRDefault="003A2FCF"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0835C50E" w14:textId="6AF4E795" w:rsidR="003A2FCF" w:rsidRPr="008B39E1" w:rsidRDefault="003A2FCF"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5902B287" w14:textId="645411A5" w:rsidR="003A2FCF" w:rsidRPr="008B39E1" w:rsidRDefault="003A2FCF" w:rsidP="000F0F5A">
            <w:pPr>
              <w:spacing w:after="0" w:line="240" w:lineRule="auto"/>
              <w:rPr>
                <w:rFonts w:ascii="Times New Roman" w:eastAsia="Times New Roman" w:hAnsi="Times New Roman" w:cs="Times New Roman"/>
                <w:sz w:val="20"/>
                <w:szCs w:val="20"/>
              </w:rPr>
            </w:pPr>
          </w:p>
        </w:tc>
      </w:tr>
      <w:tr w:rsidR="00382F90" w:rsidRPr="008B39E1" w14:paraId="75619CE8" w14:textId="139E076D" w:rsidTr="00FC3E8B">
        <w:trPr>
          <w:trHeight w:val="315"/>
        </w:trPr>
        <w:tc>
          <w:tcPr>
            <w:tcW w:w="1590" w:type="pct"/>
            <w:tcBorders>
              <w:top w:val="nil"/>
              <w:left w:val="nil"/>
              <w:bottom w:val="nil"/>
              <w:right w:val="nil"/>
            </w:tcBorders>
            <w:shd w:val="clear" w:color="auto" w:fill="auto"/>
            <w:noWrap/>
            <w:vAlign w:val="bottom"/>
            <w:hideMark/>
          </w:tcPr>
          <w:p w14:paraId="0BA09567" w14:textId="5403C98C" w:rsidR="00382F90" w:rsidRPr="008B39E1" w:rsidRDefault="00382F90" w:rsidP="000F0F5A">
            <w:pPr>
              <w:spacing w:after="0" w:line="240" w:lineRule="auto"/>
              <w:rPr>
                <w:rFonts w:ascii="Times New Roman" w:eastAsia="Times New Roman" w:hAnsi="Times New Roman" w:cs="Times New Roman"/>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xC</w:t>
            </w:r>
            <w:r w:rsidR="00061B20" w:rsidRPr="008B39E1">
              <w:rPr>
                <w:rFonts w:ascii="Times New Roman" w:hAnsi="Times New Roman" w:cs="Times New Roman"/>
                <w:i/>
                <w:iCs/>
                <w:color w:val="000000"/>
                <w:sz w:val="20"/>
                <w:szCs w:val="20"/>
              </w:rPr>
              <w:t>H</w:t>
            </w:r>
            <w:r w:rsidRPr="008B39E1">
              <w:rPr>
                <w:rFonts w:ascii="Times New Roman" w:hAnsi="Times New Roman" w:cs="Times New Roman"/>
                <w:i/>
                <w:iCs/>
                <w:color w:val="000000"/>
                <w:sz w:val="20"/>
                <w:szCs w:val="20"/>
              </w:rPr>
              <w:t>SC</w:t>
            </w:r>
            <w:proofErr w:type="spellEnd"/>
          </w:p>
        </w:tc>
        <w:tc>
          <w:tcPr>
            <w:tcW w:w="145" w:type="pct"/>
            <w:tcBorders>
              <w:top w:val="nil"/>
              <w:left w:val="nil"/>
              <w:bottom w:val="nil"/>
              <w:right w:val="nil"/>
            </w:tcBorders>
            <w:shd w:val="clear" w:color="auto" w:fill="auto"/>
            <w:noWrap/>
            <w:vAlign w:val="bottom"/>
            <w:hideMark/>
          </w:tcPr>
          <w:p w14:paraId="2A9054DE" w14:textId="77777777" w:rsidR="00382F90" w:rsidRPr="008B39E1" w:rsidRDefault="00382F90"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nil"/>
              <w:right w:val="nil"/>
            </w:tcBorders>
            <w:shd w:val="clear" w:color="auto" w:fill="auto"/>
            <w:noWrap/>
            <w:vAlign w:val="bottom"/>
            <w:hideMark/>
          </w:tcPr>
          <w:p w14:paraId="7E148C91" w14:textId="50C4BFCB" w:rsidR="00382F90" w:rsidRPr="008B39E1" w:rsidRDefault="00382F90" w:rsidP="000F0F5A">
            <w:pPr>
              <w:spacing w:after="0" w:line="240" w:lineRule="auto"/>
              <w:jc w:val="center"/>
              <w:rPr>
                <w:rFonts w:ascii="Times New Roman" w:eastAsia="Times New Roman" w:hAnsi="Times New Roman" w:cs="Times New Roman"/>
                <w:sz w:val="20"/>
                <w:szCs w:val="20"/>
              </w:rPr>
            </w:pPr>
            <w:r w:rsidRPr="008B39E1">
              <w:rPr>
                <w:rFonts w:ascii="Times New Roman" w:hAnsi="Times New Roman" w:cs="Times New Roman"/>
                <w:b/>
                <w:bCs/>
                <w:color w:val="000000"/>
                <w:sz w:val="20"/>
                <w:szCs w:val="20"/>
              </w:rPr>
              <w:t>0.055***</w:t>
            </w:r>
          </w:p>
        </w:tc>
        <w:tc>
          <w:tcPr>
            <w:tcW w:w="544" w:type="pct"/>
            <w:tcBorders>
              <w:top w:val="nil"/>
              <w:left w:val="nil"/>
              <w:bottom w:val="nil"/>
              <w:right w:val="nil"/>
            </w:tcBorders>
            <w:vAlign w:val="bottom"/>
          </w:tcPr>
          <w:p w14:paraId="0F35777B" w14:textId="77777777" w:rsidR="00382F90" w:rsidRPr="008B39E1" w:rsidRDefault="00382F90"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vAlign w:val="bottom"/>
          </w:tcPr>
          <w:p w14:paraId="738BAE88" w14:textId="59E3B221" w:rsidR="00382F90" w:rsidRPr="008B39E1" w:rsidRDefault="00382F9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46D75037" w14:textId="10BE6740" w:rsidR="00382F90" w:rsidRPr="008B39E1" w:rsidRDefault="00382F9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2B971E03" w14:textId="7F930943" w:rsidR="00382F90" w:rsidRPr="008B39E1" w:rsidRDefault="00382F9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308F97E5" w14:textId="7EAC1B10" w:rsidR="00382F90" w:rsidRPr="008B39E1" w:rsidRDefault="00382F90" w:rsidP="000F0F5A">
            <w:pPr>
              <w:spacing w:after="0" w:line="240" w:lineRule="auto"/>
              <w:jc w:val="center"/>
              <w:rPr>
                <w:rFonts w:ascii="Times New Roman" w:hAnsi="Times New Roman" w:cs="Times New Roman"/>
                <w:b/>
                <w:bCs/>
                <w:color w:val="000000"/>
                <w:sz w:val="20"/>
                <w:szCs w:val="20"/>
              </w:rPr>
            </w:pPr>
          </w:p>
        </w:tc>
      </w:tr>
      <w:tr w:rsidR="00382F90" w:rsidRPr="008B39E1" w14:paraId="62D54E95" w14:textId="0C86F251" w:rsidTr="00FC3E8B">
        <w:trPr>
          <w:trHeight w:val="315"/>
        </w:trPr>
        <w:tc>
          <w:tcPr>
            <w:tcW w:w="1590" w:type="pct"/>
            <w:tcBorders>
              <w:top w:val="nil"/>
              <w:left w:val="nil"/>
              <w:bottom w:val="nil"/>
              <w:right w:val="nil"/>
            </w:tcBorders>
            <w:shd w:val="clear" w:color="auto" w:fill="auto"/>
            <w:noWrap/>
            <w:vAlign w:val="bottom"/>
            <w:hideMark/>
          </w:tcPr>
          <w:p w14:paraId="3CCD6D0A" w14:textId="77777777" w:rsidR="00382F90" w:rsidRPr="008B39E1" w:rsidRDefault="00382F90" w:rsidP="000F0F5A">
            <w:pPr>
              <w:spacing w:after="0" w:line="240" w:lineRule="auto"/>
              <w:rPr>
                <w:rFonts w:ascii="Times New Roman" w:eastAsia="Times New Roman" w:hAnsi="Times New Roman" w:cs="Times New Roman"/>
                <w:i/>
                <w:iCs/>
                <w:sz w:val="20"/>
                <w:szCs w:val="20"/>
              </w:rPr>
            </w:pPr>
          </w:p>
        </w:tc>
        <w:tc>
          <w:tcPr>
            <w:tcW w:w="145" w:type="pct"/>
            <w:tcBorders>
              <w:top w:val="nil"/>
              <w:left w:val="nil"/>
              <w:bottom w:val="nil"/>
              <w:right w:val="nil"/>
            </w:tcBorders>
            <w:shd w:val="clear" w:color="auto" w:fill="auto"/>
            <w:noWrap/>
            <w:vAlign w:val="bottom"/>
            <w:hideMark/>
          </w:tcPr>
          <w:p w14:paraId="2FDCDCBE"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hideMark/>
          </w:tcPr>
          <w:p w14:paraId="470D4322" w14:textId="123A584E" w:rsidR="00382F90" w:rsidRPr="008B39E1" w:rsidRDefault="00382F90" w:rsidP="000F0F5A">
            <w:pPr>
              <w:spacing w:after="0" w:line="240" w:lineRule="auto"/>
              <w:jc w:val="center"/>
              <w:rPr>
                <w:rFonts w:ascii="Times New Roman" w:eastAsia="Times New Roman" w:hAnsi="Times New Roman" w:cs="Times New Roman"/>
                <w:sz w:val="20"/>
                <w:szCs w:val="20"/>
              </w:rPr>
            </w:pPr>
            <w:r w:rsidRPr="008B39E1">
              <w:rPr>
                <w:rFonts w:ascii="Times New Roman" w:hAnsi="Times New Roman" w:cs="Times New Roman"/>
                <w:b/>
                <w:bCs/>
                <w:color w:val="000000"/>
                <w:sz w:val="20"/>
                <w:szCs w:val="20"/>
              </w:rPr>
              <w:t>(2.801)</w:t>
            </w:r>
          </w:p>
        </w:tc>
        <w:tc>
          <w:tcPr>
            <w:tcW w:w="544" w:type="pct"/>
            <w:tcBorders>
              <w:top w:val="nil"/>
              <w:left w:val="nil"/>
              <w:bottom w:val="nil"/>
              <w:right w:val="nil"/>
            </w:tcBorders>
            <w:vAlign w:val="bottom"/>
          </w:tcPr>
          <w:p w14:paraId="23B44EE5" w14:textId="77777777" w:rsidR="00382F90" w:rsidRPr="008B39E1" w:rsidRDefault="00382F90"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vAlign w:val="bottom"/>
          </w:tcPr>
          <w:p w14:paraId="0FFD91E9" w14:textId="3C910D34" w:rsidR="00382F90" w:rsidRPr="008B39E1" w:rsidRDefault="00382F9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11A4BE81" w14:textId="0196C483" w:rsidR="00382F90" w:rsidRPr="008B39E1" w:rsidRDefault="00382F9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1CB8ECAF" w14:textId="1FC63324" w:rsidR="00382F90" w:rsidRPr="008B39E1" w:rsidRDefault="00382F9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300ABF08" w14:textId="3F54366E" w:rsidR="00382F90" w:rsidRPr="008B39E1" w:rsidRDefault="00382F90" w:rsidP="000F0F5A">
            <w:pPr>
              <w:spacing w:after="0" w:line="240" w:lineRule="auto"/>
              <w:jc w:val="center"/>
              <w:rPr>
                <w:rFonts w:ascii="Times New Roman" w:hAnsi="Times New Roman" w:cs="Times New Roman"/>
                <w:b/>
                <w:bCs/>
                <w:color w:val="000000"/>
                <w:sz w:val="20"/>
                <w:szCs w:val="20"/>
              </w:rPr>
            </w:pPr>
          </w:p>
        </w:tc>
      </w:tr>
      <w:tr w:rsidR="00382F90" w:rsidRPr="008B39E1" w14:paraId="54C45945" w14:textId="2D08A30B" w:rsidTr="00FC3E8B">
        <w:trPr>
          <w:trHeight w:val="315"/>
        </w:trPr>
        <w:tc>
          <w:tcPr>
            <w:tcW w:w="1590" w:type="pct"/>
            <w:tcBorders>
              <w:top w:val="nil"/>
              <w:left w:val="nil"/>
              <w:bottom w:val="nil"/>
              <w:right w:val="nil"/>
            </w:tcBorders>
            <w:shd w:val="clear" w:color="auto" w:fill="auto"/>
            <w:noWrap/>
            <w:vAlign w:val="bottom"/>
            <w:hideMark/>
          </w:tcPr>
          <w:p w14:paraId="2C34A52A" w14:textId="3057EBD5" w:rsidR="00382F90" w:rsidRPr="008B39E1" w:rsidRDefault="00382F90" w:rsidP="000F0F5A">
            <w:pPr>
              <w:spacing w:after="0" w:line="240" w:lineRule="auto"/>
              <w:rPr>
                <w:rFonts w:ascii="Times New Roman" w:eastAsia="Times New Roman" w:hAnsi="Times New Roman" w:cs="Times New Roman"/>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xC</w:t>
            </w:r>
            <w:r w:rsidR="00061B20" w:rsidRPr="008B39E1">
              <w:rPr>
                <w:rFonts w:ascii="Times New Roman" w:hAnsi="Times New Roman" w:cs="Times New Roman"/>
                <w:i/>
                <w:iCs/>
                <w:color w:val="000000"/>
                <w:sz w:val="20"/>
                <w:szCs w:val="20"/>
              </w:rPr>
              <w:t>H</w:t>
            </w:r>
            <w:r w:rsidRPr="008B39E1">
              <w:rPr>
                <w:rFonts w:ascii="Times New Roman" w:hAnsi="Times New Roman" w:cs="Times New Roman"/>
                <w:i/>
                <w:iCs/>
                <w:color w:val="000000"/>
                <w:sz w:val="20"/>
                <w:szCs w:val="20"/>
              </w:rPr>
              <w:t>SCraw</w:t>
            </w:r>
            <w:proofErr w:type="spellEnd"/>
          </w:p>
        </w:tc>
        <w:tc>
          <w:tcPr>
            <w:tcW w:w="145" w:type="pct"/>
            <w:tcBorders>
              <w:top w:val="nil"/>
              <w:left w:val="nil"/>
              <w:bottom w:val="nil"/>
              <w:right w:val="nil"/>
            </w:tcBorders>
            <w:shd w:val="clear" w:color="auto" w:fill="auto"/>
            <w:noWrap/>
            <w:vAlign w:val="bottom"/>
            <w:hideMark/>
          </w:tcPr>
          <w:p w14:paraId="7AB0F979" w14:textId="77777777" w:rsidR="00382F90" w:rsidRPr="008B39E1" w:rsidRDefault="00382F90"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nil"/>
              <w:right w:val="nil"/>
            </w:tcBorders>
            <w:shd w:val="clear" w:color="auto" w:fill="auto"/>
            <w:noWrap/>
            <w:vAlign w:val="bottom"/>
            <w:hideMark/>
          </w:tcPr>
          <w:p w14:paraId="725F8027" w14:textId="635A6C25" w:rsidR="00382F90" w:rsidRPr="008B39E1" w:rsidRDefault="00382F90" w:rsidP="000F0F5A">
            <w:pPr>
              <w:spacing w:after="0" w:line="240" w:lineRule="auto"/>
              <w:jc w:val="center"/>
              <w:rPr>
                <w:rFonts w:ascii="Times New Roman" w:eastAsia="Times New Roman" w:hAnsi="Times New Roman" w:cs="Times New Roman"/>
                <w:b/>
                <w:bCs/>
                <w:color w:val="000000"/>
                <w:sz w:val="20"/>
                <w:szCs w:val="20"/>
              </w:rPr>
            </w:pPr>
          </w:p>
        </w:tc>
        <w:tc>
          <w:tcPr>
            <w:tcW w:w="544" w:type="pct"/>
            <w:tcBorders>
              <w:top w:val="nil"/>
              <w:left w:val="nil"/>
              <w:bottom w:val="nil"/>
              <w:right w:val="nil"/>
            </w:tcBorders>
            <w:vAlign w:val="bottom"/>
          </w:tcPr>
          <w:p w14:paraId="54C47E4E" w14:textId="1EF3B00B" w:rsidR="00382F90" w:rsidRPr="008B39E1" w:rsidRDefault="00382F9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0.045**</w:t>
            </w:r>
          </w:p>
        </w:tc>
        <w:tc>
          <w:tcPr>
            <w:tcW w:w="545" w:type="pct"/>
            <w:tcBorders>
              <w:top w:val="nil"/>
              <w:left w:val="nil"/>
              <w:bottom w:val="nil"/>
              <w:right w:val="nil"/>
            </w:tcBorders>
            <w:vAlign w:val="bottom"/>
          </w:tcPr>
          <w:p w14:paraId="2072D060" w14:textId="6A08201A"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E2DE6D6" w14:textId="051F6503"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FE0A7C0" w14:textId="4732AD44"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F63B410" w14:textId="38E7637E" w:rsidR="00382F90" w:rsidRPr="008B39E1" w:rsidRDefault="00382F90" w:rsidP="000F0F5A">
            <w:pPr>
              <w:spacing w:after="0" w:line="240" w:lineRule="auto"/>
              <w:jc w:val="center"/>
              <w:rPr>
                <w:rFonts w:ascii="Times New Roman" w:hAnsi="Times New Roman" w:cs="Times New Roman"/>
                <w:color w:val="000000"/>
                <w:sz w:val="20"/>
                <w:szCs w:val="20"/>
              </w:rPr>
            </w:pPr>
          </w:p>
        </w:tc>
      </w:tr>
      <w:tr w:rsidR="00382F90" w:rsidRPr="008B39E1" w14:paraId="4A6515E3" w14:textId="3A516647" w:rsidTr="00FC3E8B">
        <w:trPr>
          <w:trHeight w:val="315"/>
        </w:trPr>
        <w:tc>
          <w:tcPr>
            <w:tcW w:w="1590" w:type="pct"/>
            <w:tcBorders>
              <w:top w:val="nil"/>
              <w:left w:val="nil"/>
              <w:bottom w:val="nil"/>
              <w:right w:val="nil"/>
            </w:tcBorders>
            <w:shd w:val="clear" w:color="auto" w:fill="auto"/>
            <w:noWrap/>
            <w:vAlign w:val="bottom"/>
            <w:hideMark/>
          </w:tcPr>
          <w:p w14:paraId="0BA184B6" w14:textId="77777777" w:rsidR="00382F90" w:rsidRPr="008B39E1" w:rsidRDefault="00382F90"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hideMark/>
          </w:tcPr>
          <w:p w14:paraId="4E6CE906"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hideMark/>
          </w:tcPr>
          <w:p w14:paraId="433459C8" w14:textId="05B55F5B" w:rsidR="00382F90" w:rsidRPr="008B39E1" w:rsidRDefault="00382F90" w:rsidP="000F0F5A">
            <w:pPr>
              <w:spacing w:after="0" w:line="240" w:lineRule="auto"/>
              <w:jc w:val="center"/>
              <w:rPr>
                <w:rFonts w:ascii="Times New Roman" w:eastAsia="Times New Roman" w:hAnsi="Times New Roman" w:cs="Times New Roman"/>
                <w:sz w:val="20"/>
                <w:szCs w:val="20"/>
              </w:rPr>
            </w:pPr>
          </w:p>
        </w:tc>
        <w:tc>
          <w:tcPr>
            <w:tcW w:w="544" w:type="pct"/>
            <w:tcBorders>
              <w:top w:val="nil"/>
              <w:left w:val="nil"/>
              <w:bottom w:val="nil"/>
              <w:right w:val="nil"/>
            </w:tcBorders>
            <w:vAlign w:val="bottom"/>
          </w:tcPr>
          <w:p w14:paraId="74B8C30F" w14:textId="1A17D2DE" w:rsidR="00382F90" w:rsidRPr="008B39E1" w:rsidRDefault="00382F9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(2.517)</w:t>
            </w:r>
          </w:p>
        </w:tc>
        <w:tc>
          <w:tcPr>
            <w:tcW w:w="545" w:type="pct"/>
            <w:tcBorders>
              <w:top w:val="nil"/>
              <w:left w:val="nil"/>
              <w:bottom w:val="nil"/>
              <w:right w:val="nil"/>
            </w:tcBorders>
            <w:vAlign w:val="bottom"/>
          </w:tcPr>
          <w:p w14:paraId="2923BF87" w14:textId="3308D3F9"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969D832" w14:textId="6CB9A60A"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7A94F5F" w14:textId="478BCDFA"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FCD8CC1" w14:textId="3648F344" w:rsidR="00382F90" w:rsidRPr="008B39E1" w:rsidRDefault="00382F90" w:rsidP="000F0F5A">
            <w:pPr>
              <w:spacing w:after="0" w:line="240" w:lineRule="auto"/>
              <w:jc w:val="center"/>
              <w:rPr>
                <w:rFonts w:ascii="Times New Roman" w:hAnsi="Times New Roman" w:cs="Times New Roman"/>
                <w:color w:val="000000"/>
                <w:sz w:val="20"/>
                <w:szCs w:val="20"/>
              </w:rPr>
            </w:pPr>
          </w:p>
        </w:tc>
      </w:tr>
      <w:tr w:rsidR="00382F90" w:rsidRPr="008B39E1" w14:paraId="1C54DF35" w14:textId="77777777" w:rsidTr="00FC3E8B">
        <w:trPr>
          <w:trHeight w:val="315"/>
        </w:trPr>
        <w:tc>
          <w:tcPr>
            <w:tcW w:w="1590" w:type="pct"/>
            <w:tcBorders>
              <w:top w:val="nil"/>
              <w:left w:val="nil"/>
              <w:bottom w:val="nil"/>
              <w:right w:val="nil"/>
            </w:tcBorders>
            <w:shd w:val="clear" w:color="auto" w:fill="auto"/>
            <w:noWrap/>
            <w:vAlign w:val="bottom"/>
          </w:tcPr>
          <w:p w14:paraId="33B36129" w14:textId="37FF1A67" w:rsidR="00382F90" w:rsidRPr="008B39E1" w:rsidRDefault="00382F90"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xC</w:t>
            </w:r>
            <w:r w:rsidR="00061B20" w:rsidRPr="008B39E1">
              <w:rPr>
                <w:rFonts w:ascii="Times New Roman" w:hAnsi="Times New Roman" w:cs="Times New Roman"/>
                <w:i/>
                <w:iCs/>
                <w:color w:val="000000"/>
                <w:sz w:val="20"/>
                <w:szCs w:val="20"/>
              </w:rPr>
              <w:t>H</w:t>
            </w:r>
            <w:r w:rsidRPr="008B39E1">
              <w:rPr>
                <w:rFonts w:ascii="Times New Roman" w:hAnsi="Times New Roman" w:cs="Times New Roman"/>
                <w:i/>
                <w:iCs/>
                <w:color w:val="000000"/>
                <w:sz w:val="20"/>
                <w:szCs w:val="20"/>
              </w:rPr>
              <w:t>NORMS</w:t>
            </w:r>
            <w:proofErr w:type="spellEnd"/>
          </w:p>
        </w:tc>
        <w:tc>
          <w:tcPr>
            <w:tcW w:w="145" w:type="pct"/>
            <w:tcBorders>
              <w:top w:val="nil"/>
              <w:left w:val="nil"/>
              <w:bottom w:val="nil"/>
              <w:right w:val="nil"/>
            </w:tcBorders>
            <w:shd w:val="clear" w:color="auto" w:fill="auto"/>
            <w:noWrap/>
            <w:vAlign w:val="bottom"/>
          </w:tcPr>
          <w:p w14:paraId="03A328DB"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5630D90"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40C0309"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3BDD532D" w14:textId="1F0159F4" w:rsidR="00382F90" w:rsidRPr="008B39E1" w:rsidRDefault="00382F9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0.057***</w:t>
            </w:r>
          </w:p>
        </w:tc>
        <w:tc>
          <w:tcPr>
            <w:tcW w:w="544" w:type="pct"/>
            <w:tcBorders>
              <w:top w:val="nil"/>
              <w:left w:val="nil"/>
              <w:bottom w:val="nil"/>
              <w:right w:val="nil"/>
            </w:tcBorders>
            <w:vAlign w:val="bottom"/>
          </w:tcPr>
          <w:p w14:paraId="34CCB632"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C7675A1"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78B76AE"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r>
      <w:tr w:rsidR="00382F90" w:rsidRPr="008B39E1" w14:paraId="0E53B342" w14:textId="77777777" w:rsidTr="00FC3E8B">
        <w:trPr>
          <w:trHeight w:val="315"/>
        </w:trPr>
        <w:tc>
          <w:tcPr>
            <w:tcW w:w="1590" w:type="pct"/>
            <w:tcBorders>
              <w:top w:val="nil"/>
              <w:left w:val="nil"/>
              <w:bottom w:val="nil"/>
              <w:right w:val="nil"/>
            </w:tcBorders>
            <w:shd w:val="clear" w:color="auto" w:fill="auto"/>
            <w:noWrap/>
            <w:vAlign w:val="bottom"/>
          </w:tcPr>
          <w:p w14:paraId="0547C7E7" w14:textId="77777777" w:rsidR="00382F90" w:rsidRPr="008B39E1" w:rsidRDefault="00382F90"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2DCCA40A"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1EBDD32D"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35B1A05"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09022642" w14:textId="11E4AE2D" w:rsidR="00382F90" w:rsidRPr="008B39E1" w:rsidRDefault="00382F9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(2.883)</w:t>
            </w:r>
          </w:p>
        </w:tc>
        <w:tc>
          <w:tcPr>
            <w:tcW w:w="544" w:type="pct"/>
            <w:tcBorders>
              <w:top w:val="nil"/>
              <w:left w:val="nil"/>
              <w:bottom w:val="nil"/>
              <w:right w:val="nil"/>
            </w:tcBorders>
            <w:vAlign w:val="bottom"/>
          </w:tcPr>
          <w:p w14:paraId="32826FF2"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10D52B5"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72AC1A6"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r>
      <w:tr w:rsidR="00382F90" w:rsidRPr="008B39E1" w14:paraId="0D3D7386" w14:textId="77777777" w:rsidTr="00FC3E8B">
        <w:trPr>
          <w:trHeight w:val="315"/>
        </w:trPr>
        <w:tc>
          <w:tcPr>
            <w:tcW w:w="1590" w:type="pct"/>
            <w:tcBorders>
              <w:top w:val="nil"/>
              <w:left w:val="nil"/>
              <w:bottom w:val="nil"/>
              <w:right w:val="nil"/>
            </w:tcBorders>
            <w:shd w:val="clear" w:color="auto" w:fill="auto"/>
            <w:noWrap/>
            <w:vAlign w:val="bottom"/>
          </w:tcPr>
          <w:p w14:paraId="16F5E81A" w14:textId="50A4BAF5" w:rsidR="00382F90" w:rsidRPr="008B39E1" w:rsidRDefault="00382F90"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xNORMSraw</w:t>
            </w:r>
            <w:proofErr w:type="spellEnd"/>
          </w:p>
        </w:tc>
        <w:tc>
          <w:tcPr>
            <w:tcW w:w="145" w:type="pct"/>
            <w:tcBorders>
              <w:top w:val="nil"/>
              <w:left w:val="nil"/>
              <w:bottom w:val="nil"/>
              <w:right w:val="nil"/>
            </w:tcBorders>
            <w:shd w:val="clear" w:color="auto" w:fill="auto"/>
            <w:noWrap/>
            <w:vAlign w:val="bottom"/>
          </w:tcPr>
          <w:p w14:paraId="72D5FD77"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1669BE23"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1AFFA96"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072D3D57"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D96D4FF" w14:textId="0CFAA13C" w:rsidR="00382F90" w:rsidRPr="008B39E1" w:rsidRDefault="00382F9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0.001**</w:t>
            </w:r>
          </w:p>
        </w:tc>
        <w:tc>
          <w:tcPr>
            <w:tcW w:w="544" w:type="pct"/>
            <w:tcBorders>
              <w:top w:val="nil"/>
              <w:left w:val="nil"/>
              <w:bottom w:val="nil"/>
              <w:right w:val="nil"/>
            </w:tcBorders>
            <w:vAlign w:val="bottom"/>
          </w:tcPr>
          <w:p w14:paraId="4E7622C9"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5216571"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r>
      <w:tr w:rsidR="00382F90" w:rsidRPr="008B39E1" w14:paraId="3A18AF40" w14:textId="77777777" w:rsidTr="00FC3E8B">
        <w:trPr>
          <w:trHeight w:val="315"/>
        </w:trPr>
        <w:tc>
          <w:tcPr>
            <w:tcW w:w="1590" w:type="pct"/>
            <w:tcBorders>
              <w:top w:val="nil"/>
              <w:left w:val="nil"/>
              <w:bottom w:val="nil"/>
              <w:right w:val="nil"/>
            </w:tcBorders>
            <w:shd w:val="clear" w:color="auto" w:fill="auto"/>
            <w:noWrap/>
            <w:vAlign w:val="bottom"/>
          </w:tcPr>
          <w:p w14:paraId="1219458A" w14:textId="77777777" w:rsidR="00382F90" w:rsidRPr="008B39E1" w:rsidRDefault="00382F90"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6E8D7933"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446F90F7"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7191BE4"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694FAA3B"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0428050" w14:textId="060826B5" w:rsidR="00382F90" w:rsidRPr="008B39E1" w:rsidRDefault="00382F9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(2.052)</w:t>
            </w:r>
          </w:p>
        </w:tc>
        <w:tc>
          <w:tcPr>
            <w:tcW w:w="544" w:type="pct"/>
            <w:tcBorders>
              <w:top w:val="nil"/>
              <w:left w:val="nil"/>
              <w:bottom w:val="nil"/>
              <w:right w:val="nil"/>
            </w:tcBorders>
            <w:vAlign w:val="bottom"/>
          </w:tcPr>
          <w:p w14:paraId="02413F9A"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C31B5D0"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r>
      <w:tr w:rsidR="00382F90" w:rsidRPr="008B39E1" w14:paraId="342016B1" w14:textId="77777777" w:rsidTr="00FC3E8B">
        <w:trPr>
          <w:trHeight w:val="315"/>
        </w:trPr>
        <w:tc>
          <w:tcPr>
            <w:tcW w:w="1590" w:type="pct"/>
            <w:tcBorders>
              <w:top w:val="nil"/>
              <w:left w:val="nil"/>
              <w:bottom w:val="nil"/>
              <w:right w:val="nil"/>
            </w:tcBorders>
            <w:shd w:val="clear" w:color="auto" w:fill="auto"/>
            <w:noWrap/>
            <w:vAlign w:val="bottom"/>
          </w:tcPr>
          <w:p w14:paraId="20E5D9B9" w14:textId="5AA5252A" w:rsidR="00382F90" w:rsidRPr="008B39E1" w:rsidRDefault="00382F90"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xC</w:t>
            </w:r>
            <w:r w:rsidR="00061B20" w:rsidRPr="008B39E1">
              <w:rPr>
                <w:rFonts w:ascii="Times New Roman" w:hAnsi="Times New Roman" w:cs="Times New Roman"/>
                <w:i/>
                <w:iCs/>
                <w:color w:val="000000"/>
                <w:sz w:val="20"/>
                <w:szCs w:val="20"/>
              </w:rPr>
              <w:t>H</w:t>
            </w:r>
            <w:r w:rsidRPr="008B39E1">
              <w:rPr>
                <w:rFonts w:ascii="Times New Roman" w:hAnsi="Times New Roman" w:cs="Times New Roman"/>
                <w:i/>
                <w:iCs/>
                <w:color w:val="000000"/>
                <w:sz w:val="20"/>
                <w:szCs w:val="20"/>
              </w:rPr>
              <w:t>NETW</w:t>
            </w:r>
            <w:proofErr w:type="spellEnd"/>
          </w:p>
        </w:tc>
        <w:tc>
          <w:tcPr>
            <w:tcW w:w="145" w:type="pct"/>
            <w:tcBorders>
              <w:top w:val="nil"/>
              <w:left w:val="nil"/>
              <w:bottom w:val="nil"/>
              <w:right w:val="nil"/>
            </w:tcBorders>
            <w:shd w:val="clear" w:color="auto" w:fill="auto"/>
            <w:noWrap/>
            <w:vAlign w:val="bottom"/>
          </w:tcPr>
          <w:p w14:paraId="2CDE5444"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6853882C"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79BE729"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62FFEE4D"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F65FB15"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65E18D0" w14:textId="01C1B22B" w:rsidR="00382F90" w:rsidRPr="008B39E1" w:rsidRDefault="00382F9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0.058***</w:t>
            </w:r>
          </w:p>
        </w:tc>
        <w:tc>
          <w:tcPr>
            <w:tcW w:w="544" w:type="pct"/>
            <w:tcBorders>
              <w:top w:val="nil"/>
              <w:left w:val="nil"/>
              <w:bottom w:val="nil"/>
              <w:right w:val="nil"/>
            </w:tcBorders>
            <w:vAlign w:val="bottom"/>
          </w:tcPr>
          <w:p w14:paraId="72EAC8A3"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r>
      <w:tr w:rsidR="00382F90" w:rsidRPr="008B39E1" w14:paraId="4D501B1C" w14:textId="77777777" w:rsidTr="00FC3E8B">
        <w:trPr>
          <w:trHeight w:val="315"/>
        </w:trPr>
        <w:tc>
          <w:tcPr>
            <w:tcW w:w="1590" w:type="pct"/>
            <w:tcBorders>
              <w:top w:val="nil"/>
              <w:left w:val="nil"/>
              <w:bottom w:val="nil"/>
              <w:right w:val="nil"/>
            </w:tcBorders>
            <w:shd w:val="clear" w:color="auto" w:fill="auto"/>
            <w:noWrap/>
            <w:vAlign w:val="bottom"/>
          </w:tcPr>
          <w:p w14:paraId="1527657D" w14:textId="77777777" w:rsidR="00382F90" w:rsidRPr="008B39E1" w:rsidRDefault="00382F90"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236D2D73"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E7561BB"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8330B50"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0945E7BD"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9D7F1CF"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C647C39" w14:textId="7EDCC8E0" w:rsidR="00382F90" w:rsidRPr="008B39E1" w:rsidRDefault="00382F9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(2.881)</w:t>
            </w:r>
          </w:p>
        </w:tc>
        <w:tc>
          <w:tcPr>
            <w:tcW w:w="544" w:type="pct"/>
            <w:tcBorders>
              <w:top w:val="nil"/>
              <w:left w:val="nil"/>
              <w:bottom w:val="nil"/>
              <w:right w:val="nil"/>
            </w:tcBorders>
            <w:vAlign w:val="bottom"/>
          </w:tcPr>
          <w:p w14:paraId="45FE715F"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r>
      <w:tr w:rsidR="00382F90" w:rsidRPr="008B39E1" w14:paraId="3D3730C6" w14:textId="77777777" w:rsidTr="00FC3E8B">
        <w:trPr>
          <w:trHeight w:val="315"/>
        </w:trPr>
        <w:tc>
          <w:tcPr>
            <w:tcW w:w="1590" w:type="pct"/>
            <w:tcBorders>
              <w:top w:val="nil"/>
              <w:left w:val="nil"/>
              <w:bottom w:val="nil"/>
              <w:right w:val="nil"/>
            </w:tcBorders>
            <w:shd w:val="clear" w:color="auto" w:fill="auto"/>
            <w:noWrap/>
            <w:vAlign w:val="bottom"/>
          </w:tcPr>
          <w:p w14:paraId="279B8C00" w14:textId="0C8FA623" w:rsidR="00382F90" w:rsidRPr="008B39E1" w:rsidRDefault="008B6E48"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POSTxRELOCATExNETWraw</w:t>
            </w:r>
            <w:proofErr w:type="spellEnd"/>
          </w:p>
        </w:tc>
        <w:tc>
          <w:tcPr>
            <w:tcW w:w="145" w:type="pct"/>
            <w:tcBorders>
              <w:top w:val="nil"/>
              <w:left w:val="nil"/>
              <w:bottom w:val="nil"/>
              <w:right w:val="nil"/>
            </w:tcBorders>
            <w:shd w:val="clear" w:color="auto" w:fill="auto"/>
            <w:noWrap/>
            <w:vAlign w:val="bottom"/>
          </w:tcPr>
          <w:p w14:paraId="155696AC"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35DF0094"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725FB2B"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17216C74"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84A4AB8"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52177F8"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0043A24" w14:textId="77132E7D" w:rsidR="00382F90" w:rsidRPr="008B39E1" w:rsidRDefault="00382F9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0.002***</w:t>
            </w:r>
          </w:p>
        </w:tc>
      </w:tr>
      <w:tr w:rsidR="00382F90" w:rsidRPr="008B39E1" w14:paraId="500E32CE" w14:textId="77777777" w:rsidTr="00FC3E8B">
        <w:trPr>
          <w:trHeight w:val="315"/>
        </w:trPr>
        <w:tc>
          <w:tcPr>
            <w:tcW w:w="1590" w:type="pct"/>
            <w:tcBorders>
              <w:top w:val="nil"/>
              <w:left w:val="nil"/>
              <w:bottom w:val="nil"/>
              <w:right w:val="nil"/>
            </w:tcBorders>
            <w:shd w:val="clear" w:color="auto" w:fill="auto"/>
            <w:noWrap/>
            <w:vAlign w:val="bottom"/>
          </w:tcPr>
          <w:p w14:paraId="750BCF4E" w14:textId="77777777" w:rsidR="00382F90" w:rsidRPr="008B39E1" w:rsidRDefault="00382F90"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611CE689"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CC4F1B5"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A7981BA"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42726F4C"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B248F53"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49B3F65" w14:textId="77777777" w:rsidR="00382F90" w:rsidRPr="008B39E1" w:rsidRDefault="00382F9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2DBA9CE" w14:textId="35EB5E95" w:rsidR="00382F90" w:rsidRPr="008B39E1" w:rsidRDefault="00382F9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(2.589)</w:t>
            </w:r>
          </w:p>
        </w:tc>
      </w:tr>
      <w:tr w:rsidR="00382F90" w:rsidRPr="008B39E1" w14:paraId="1187F2AC" w14:textId="2A4638CF" w:rsidTr="00FC3E8B">
        <w:trPr>
          <w:trHeight w:val="117"/>
        </w:trPr>
        <w:tc>
          <w:tcPr>
            <w:tcW w:w="1590" w:type="pct"/>
            <w:tcBorders>
              <w:top w:val="nil"/>
              <w:left w:val="nil"/>
              <w:bottom w:val="nil"/>
              <w:right w:val="nil"/>
            </w:tcBorders>
            <w:shd w:val="clear" w:color="auto" w:fill="auto"/>
            <w:noWrap/>
            <w:vAlign w:val="bottom"/>
          </w:tcPr>
          <w:p w14:paraId="23058334" w14:textId="7DE53313" w:rsidR="00382F90" w:rsidRPr="008B39E1" w:rsidRDefault="00382F90"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xNO</w:t>
            </w:r>
            <w:r w:rsidR="00D34E53" w:rsidRPr="008B39E1">
              <w:rPr>
                <w:rFonts w:ascii="Times New Roman" w:hAnsi="Times New Roman" w:cs="Times New Roman"/>
                <w:i/>
                <w:iCs/>
                <w:color w:val="000000"/>
                <w:sz w:val="20"/>
                <w:szCs w:val="20"/>
              </w:rPr>
              <w:t>_CHSC</w:t>
            </w:r>
            <w:proofErr w:type="spellEnd"/>
          </w:p>
        </w:tc>
        <w:tc>
          <w:tcPr>
            <w:tcW w:w="145" w:type="pct"/>
            <w:tcBorders>
              <w:top w:val="nil"/>
              <w:left w:val="nil"/>
              <w:bottom w:val="nil"/>
              <w:right w:val="nil"/>
            </w:tcBorders>
            <w:shd w:val="clear" w:color="auto" w:fill="auto"/>
            <w:noWrap/>
            <w:vAlign w:val="bottom"/>
          </w:tcPr>
          <w:p w14:paraId="25871E49"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4BA1996E" w14:textId="219846A2"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0.022</w:t>
            </w:r>
          </w:p>
        </w:tc>
        <w:tc>
          <w:tcPr>
            <w:tcW w:w="544" w:type="pct"/>
            <w:tcBorders>
              <w:top w:val="nil"/>
              <w:left w:val="nil"/>
              <w:bottom w:val="nil"/>
              <w:right w:val="nil"/>
            </w:tcBorders>
            <w:vAlign w:val="bottom"/>
          </w:tcPr>
          <w:p w14:paraId="4B8FC981" w14:textId="69DA79C9"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0.016</w:t>
            </w:r>
          </w:p>
        </w:tc>
        <w:tc>
          <w:tcPr>
            <w:tcW w:w="545" w:type="pct"/>
            <w:tcBorders>
              <w:top w:val="nil"/>
              <w:left w:val="nil"/>
              <w:bottom w:val="nil"/>
              <w:right w:val="nil"/>
            </w:tcBorders>
            <w:vAlign w:val="bottom"/>
          </w:tcPr>
          <w:p w14:paraId="120159D1" w14:textId="7D7EF20D"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0.022</w:t>
            </w:r>
          </w:p>
        </w:tc>
        <w:tc>
          <w:tcPr>
            <w:tcW w:w="544" w:type="pct"/>
            <w:tcBorders>
              <w:top w:val="nil"/>
              <w:left w:val="nil"/>
              <w:bottom w:val="nil"/>
              <w:right w:val="nil"/>
            </w:tcBorders>
            <w:vAlign w:val="bottom"/>
          </w:tcPr>
          <w:p w14:paraId="17582669" w14:textId="0A18DB5B"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0.014</w:t>
            </w:r>
          </w:p>
        </w:tc>
        <w:tc>
          <w:tcPr>
            <w:tcW w:w="544" w:type="pct"/>
            <w:tcBorders>
              <w:top w:val="nil"/>
              <w:left w:val="nil"/>
              <w:bottom w:val="nil"/>
              <w:right w:val="nil"/>
            </w:tcBorders>
            <w:vAlign w:val="bottom"/>
          </w:tcPr>
          <w:p w14:paraId="6006687A" w14:textId="76A3E4A2"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0.022</w:t>
            </w:r>
          </w:p>
        </w:tc>
        <w:tc>
          <w:tcPr>
            <w:tcW w:w="544" w:type="pct"/>
            <w:tcBorders>
              <w:top w:val="nil"/>
              <w:left w:val="nil"/>
              <w:bottom w:val="nil"/>
              <w:right w:val="nil"/>
            </w:tcBorders>
            <w:vAlign w:val="bottom"/>
          </w:tcPr>
          <w:p w14:paraId="62FE1A7D" w14:textId="08870BFF"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0.016</w:t>
            </w:r>
          </w:p>
        </w:tc>
      </w:tr>
      <w:tr w:rsidR="00382F90" w:rsidRPr="008B39E1" w14:paraId="09F1A9B2" w14:textId="77777777" w:rsidTr="00FC3E8B">
        <w:trPr>
          <w:trHeight w:val="117"/>
        </w:trPr>
        <w:tc>
          <w:tcPr>
            <w:tcW w:w="1590" w:type="pct"/>
            <w:tcBorders>
              <w:top w:val="nil"/>
              <w:left w:val="nil"/>
              <w:bottom w:val="nil"/>
              <w:right w:val="nil"/>
            </w:tcBorders>
            <w:shd w:val="clear" w:color="auto" w:fill="auto"/>
            <w:noWrap/>
            <w:vAlign w:val="bottom"/>
          </w:tcPr>
          <w:p w14:paraId="389F8CB9" w14:textId="77777777" w:rsidR="00382F90" w:rsidRPr="008B39E1" w:rsidRDefault="00382F90" w:rsidP="000F0F5A">
            <w:pPr>
              <w:spacing w:after="0" w:line="240" w:lineRule="auto"/>
              <w:rPr>
                <w:rFonts w:ascii="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tcPr>
          <w:p w14:paraId="5BE65B43" w14:textId="77777777" w:rsidR="00382F90" w:rsidRPr="008B39E1" w:rsidRDefault="00382F9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F48132D" w14:textId="3FE3F3E7"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(1.203)</w:t>
            </w:r>
          </w:p>
        </w:tc>
        <w:tc>
          <w:tcPr>
            <w:tcW w:w="544" w:type="pct"/>
            <w:tcBorders>
              <w:top w:val="nil"/>
              <w:left w:val="nil"/>
              <w:bottom w:val="nil"/>
              <w:right w:val="nil"/>
            </w:tcBorders>
            <w:vAlign w:val="bottom"/>
          </w:tcPr>
          <w:p w14:paraId="7B146628" w14:textId="2710BC96"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(0.847)</w:t>
            </w:r>
          </w:p>
        </w:tc>
        <w:tc>
          <w:tcPr>
            <w:tcW w:w="545" w:type="pct"/>
            <w:tcBorders>
              <w:top w:val="nil"/>
              <w:left w:val="nil"/>
              <w:bottom w:val="nil"/>
              <w:right w:val="nil"/>
            </w:tcBorders>
            <w:vAlign w:val="bottom"/>
          </w:tcPr>
          <w:p w14:paraId="58A0114E" w14:textId="481F8DE6"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(1.197)</w:t>
            </w:r>
          </w:p>
        </w:tc>
        <w:tc>
          <w:tcPr>
            <w:tcW w:w="544" w:type="pct"/>
            <w:tcBorders>
              <w:top w:val="nil"/>
              <w:left w:val="nil"/>
              <w:bottom w:val="nil"/>
              <w:right w:val="nil"/>
            </w:tcBorders>
            <w:vAlign w:val="bottom"/>
          </w:tcPr>
          <w:p w14:paraId="0FC4B215" w14:textId="7D938E5D"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(0.755)</w:t>
            </w:r>
          </w:p>
        </w:tc>
        <w:tc>
          <w:tcPr>
            <w:tcW w:w="544" w:type="pct"/>
            <w:tcBorders>
              <w:top w:val="nil"/>
              <w:left w:val="nil"/>
              <w:bottom w:val="nil"/>
              <w:right w:val="nil"/>
            </w:tcBorders>
            <w:vAlign w:val="bottom"/>
          </w:tcPr>
          <w:p w14:paraId="07F093D1" w14:textId="20C96F83"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(1.180)</w:t>
            </w:r>
          </w:p>
        </w:tc>
        <w:tc>
          <w:tcPr>
            <w:tcW w:w="544" w:type="pct"/>
            <w:tcBorders>
              <w:top w:val="nil"/>
              <w:left w:val="nil"/>
              <w:bottom w:val="nil"/>
              <w:right w:val="nil"/>
            </w:tcBorders>
            <w:vAlign w:val="bottom"/>
          </w:tcPr>
          <w:p w14:paraId="336377A4" w14:textId="6AC7B374" w:rsidR="00382F90" w:rsidRPr="008B39E1" w:rsidRDefault="00382F9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(0.847)</w:t>
            </w:r>
          </w:p>
        </w:tc>
      </w:tr>
      <w:tr w:rsidR="00382F90" w:rsidRPr="008B39E1" w14:paraId="523B9CF7" w14:textId="77777777" w:rsidTr="00FC3E8B">
        <w:trPr>
          <w:trHeight w:val="117"/>
        </w:trPr>
        <w:tc>
          <w:tcPr>
            <w:tcW w:w="1590" w:type="pct"/>
            <w:tcBorders>
              <w:top w:val="nil"/>
              <w:left w:val="nil"/>
              <w:bottom w:val="nil"/>
              <w:right w:val="nil"/>
            </w:tcBorders>
            <w:shd w:val="clear" w:color="auto" w:fill="auto"/>
            <w:noWrap/>
            <w:vAlign w:val="bottom"/>
          </w:tcPr>
          <w:p w14:paraId="33D4AC93" w14:textId="77777777" w:rsidR="007D21EB" w:rsidRPr="008B39E1" w:rsidRDefault="007D21EB" w:rsidP="000F0F5A">
            <w:pPr>
              <w:spacing w:after="0" w:line="240" w:lineRule="auto"/>
              <w:rPr>
                <w:rFonts w:ascii="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tcPr>
          <w:p w14:paraId="00ED62B7" w14:textId="77777777" w:rsidR="007D21EB" w:rsidRPr="008B39E1" w:rsidRDefault="007D21E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2DF0BBC2" w14:textId="77777777" w:rsidR="007D21EB" w:rsidRPr="008B39E1" w:rsidRDefault="007D21E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075FBA94" w14:textId="77777777" w:rsidR="007D21EB" w:rsidRPr="008B39E1" w:rsidRDefault="007D21EB"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tcPr>
          <w:p w14:paraId="7E85681C" w14:textId="77777777" w:rsidR="007D21EB" w:rsidRPr="008B39E1" w:rsidRDefault="007D21E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5EF80666" w14:textId="77777777" w:rsidR="007D21EB" w:rsidRPr="008B39E1" w:rsidRDefault="007D21E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6C1A61D3" w14:textId="77777777" w:rsidR="007D21EB" w:rsidRPr="008B39E1" w:rsidRDefault="007D21E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4B27D5A3" w14:textId="77777777" w:rsidR="007D21EB" w:rsidRPr="008B39E1" w:rsidRDefault="007D21EB" w:rsidP="000F0F5A">
            <w:pPr>
              <w:spacing w:after="0" w:line="240" w:lineRule="auto"/>
              <w:jc w:val="center"/>
              <w:rPr>
                <w:rFonts w:ascii="Times New Roman" w:hAnsi="Times New Roman" w:cs="Times New Roman"/>
                <w:b/>
                <w:bCs/>
                <w:color w:val="000000"/>
                <w:sz w:val="20"/>
                <w:szCs w:val="20"/>
              </w:rPr>
            </w:pPr>
          </w:p>
        </w:tc>
      </w:tr>
      <w:tr w:rsidR="00BC2548" w:rsidRPr="008B39E1" w14:paraId="4FDBD0CE" w14:textId="4CCEC18A" w:rsidTr="00FC3E8B">
        <w:trPr>
          <w:trHeight w:val="315"/>
        </w:trPr>
        <w:tc>
          <w:tcPr>
            <w:tcW w:w="1590" w:type="pct"/>
            <w:tcBorders>
              <w:top w:val="nil"/>
              <w:left w:val="nil"/>
              <w:bottom w:val="nil"/>
              <w:right w:val="nil"/>
            </w:tcBorders>
            <w:shd w:val="clear" w:color="auto" w:fill="auto"/>
            <w:noWrap/>
            <w:vAlign w:val="bottom"/>
          </w:tcPr>
          <w:p w14:paraId="27755E91" w14:textId="77777777" w:rsidR="00BC2548" w:rsidRPr="008B39E1" w:rsidRDefault="00BC2548"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Controls</w:t>
            </w:r>
          </w:p>
        </w:tc>
        <w:tc>
          <w:tcPr>
            <w:tcW w:w="145" w:type="pct"/>
            <w:tcBorders>
              <w:top w:val="nil"/>
              <w:left w:val="nil"/>
              <w:bottom w:val="nil"/>
              <w:right w:val="nil"/>
            </w:tcBorders>
            <w:shd w:val="clear" w:color="auto" w:fill="auto"/>
            <w:noWrap/>
            <w:vAlign w:val="bottom"/>
          </w:tcPr>
          <w:p w14:paraId="5CB9AF59" w14:textId="77777777" w:rsidR="00BC2548" w:rsidRPr="008B39E1" w:rsidRDefault="00BC2548"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5A88DEE5" w14:textId="77777777" w:rsidR="00BC2548" w:rsidRPr="008B39E1" w:rsidRDefault="00BC2548"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71BE3A8A" w14:textId="2BE7C593" w:rsidR="00BC2548" w:rsidRPr="008B39E1" w:rsidRDefault="00BC2548"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5" w:type="pct"/>
            <w:tcBorders>
              <w:top w:val="nil"/>
              <w:left w:val="nil"/>
              <w:bottom w:val="nil"/>
              <w:right w:val="nil"/>
            </w:tcBorders>
            <w:vAlign w:val="center"/>
          </w:tcPr>
          <w:p w14:paraId="1AC89A79" w14:textId="41699BCB" w:rsidR="00BC2548" w:rsidRPr="008B39E1" w:rsidRDefault="00BC2548"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0222033B" w14:textId="65EACE48" w:rsidR="00BC2548" w:rsidRPr="008B39E1" w:rsidRDefault="00BC2548"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28214CB5" w14:textId="749A4C3F" w:rsidR="00BC2548" w:rsidRPr="008B39E1" w:rsidRDefault="00BC2548"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32E3BC47" w14:textId="53D82969" w:rsidR="00BC2548" w:rsidRPr="008B39E1" w:rsidRDefault="00BC2548"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r>
      <w:tr w:rsidR="00BC2548" w:rsidRPr="008B39E1" w14:paraId="1501A820" w14:textId="54726B86" w:rsidTr="00FC3E8B">
        <w:trPr>
          <w:trHeight w:val="315"/>
        </w:trPr>
        <w:tc>
          <w:tcPr>
            <w:tcW w:w="1590" w:type="pct"/>
            <w:tcBorders>
              <w:top w:val="nil"/>
              <w:left w:val="nil"/>
              <w:bottom w:val="nil"/>
              <w:right w:val="nil"/>
            </w:tcBorders>
            <w:shd w:val="clear" w:color="auto" w:fill="auto"/>
            <w:noWrap/>
            <w:vAlign w:val="bottom"/>
          </w:tcPr>
          <w:p w14:paraId="3EE651F7" w14:textId="77777777" w:rsidR="00BC2548" w:rsidRPr="008B39E1" w:rsidRDefault="00BC2548"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Fixed Effects</w:t>
            </w:r>
          </w:p>
        </w:tc>
        <w:tc>
          <w:tcPr>
            <w:tcW w:w="145" w:type="pct"/>
            <w:tcBorders>
              <w:top w:val="nil"/>
              <w:left w:val="nil"/>
              <w:bottom w:val="nil"/>
              <w:right w:val="nil"/>
            </w:tcBorders>
            <w:shd w:val="clear" w:color="auto" w:fill="auto"/>
            <w:noWrap/>
            <w:vAlign w:val="bottom"/>
          </w:tcPr>
          <w:p w14:paraId="24E3567C" w14:textId="77777777" w:rsidR="00BC2548" w:rsidRPr="008B39E1" w:rsidRDefault="00BC2548"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4079A026" w14:textId="77777777" w:rsidR="00BC2548" w:rsidRPr="008B39E1" w:rsidRDefault="00BC2548" w:rsidP="000F0F5A">
            <w:pPr>
              <w:spacing w:after="0" w:line="240" w:lineRule="auto"/>
              <w:jc w:val="center"/>
              <w:rPr>
                <w:rFonts w:ascii="Times New Roman" w:hAnsi="Times New Roman" w:cs="Times New Roman"/>
                <w:b/>
                <w:bCs/>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3688AC26" w14:textId="759361AE" w:rsidR="00BC2548" w:rsidRPr="008B39E1" w:rsidRDefault="00BC254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5" w:type="pct"/>
            <w:tcBorders>
              <w:top w:val="nil"/>
              <w:left w:val="nil"/>
              <w:bottom w:val="nil"/>
              <w:right w:val="nil"/>
            </w:tcBorders>
            <w:vAlign w:val="center"/>
          </w:tcPr>
          <w:p w14:paraId="085A32B5" w14:textId="0B8A89E0" w:rsidR="00BC2548" w:rsidRPr="008B39E1" w:rsidRDefault="00BC254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4AFA8B83" w14:textId="7BF88588" w:rsidR="00BC2548" w:rsidRPr="008B39E1" w:rsidRDefault="00BC254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090C5750" w14:textId="5E6C14CE" w:rsidR="00BC2548" w:rsidRPr="008B39E1" w:rsidRDefault="00BC254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4493D0BE" w14:textId="26B98DDE" w:rsidR="00BC2548" w:rsidRPr="008B39E1" w:rsidRDefault="00BC2548"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r>
      <w:tr w:rsidR="00BC2548" w:rsidRPr="008B39E1" w14:paraId="7A5F08CD" w14:textId="54109FEA" w:rsidTr="00FC3E8B">
        <w:trPr>
          <w:trHeight w:val="315"/>
        </w:trPr>
        <w:tc>
          <w:tcPr>
            <w:tcW w:w="1590" w:type="pct"/>
            <w:tcBorders>
              <w:top w:val="nil"/>
              <w:left w:val="nil"/>
              <w:bottom w:val="nil"/>
              <w:right w:val="nil"/>
            </w:tcBorders>
            <w:shd w:val="clear" w:color="auto" w:fill="auto"/>
            <w:noWrap/>
            <w:vAlign w:val="bottom"/>
          </w:tcPr>
          <w:p w14:paraId="7B9B90B0" w14:textId="77777777" w:rsidR="00BC2548" w:rsidRPr="008B39E1" w:rsidRDefault="00BC2548"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Clustered SE</w:t>
            </w:r>
          </w:p>
        </w:tc>
        <w:tc>
          <w:tcPr>
            <w:tcW w:w="145" w:type="pct"/>
            <w:tcBorders>
              <w:top w:val="nil"/>
              <w:left w:val="nil"/>
              <w:bottom w:val="nil"/>
              <w:right w:val="nil"/>
            </w:tcBorders>
            <w:shd w:val="clear" w:color="auto" w:fill="auto"/>
            <w:noWrap/>
            <w:vAlign w:val="bottom"/>
          </w:tcPr>
          <w:p w14:paraId="1A0AB191" w14:textId="77777777" w:rsidR="00BC2548" w:rsidRPr="008B39E1" w:rsidRDefault="00BC2548"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274AC472" w14:textId="77777777" w:rsidR="00BC2548" w:rsidRPr="008B39E1" w:rsidRDefault="00BC2548"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1B7F5112" w14:textId="321742C7" w:rsidR="00BC2548" w:rsidRPr="008B39E1" w:rsidRDefault="00BC2548"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5" w:type="pct"/>
            <w:tcBorders>
              <w:top w:val="nil"/>
              <w:left w:val="nil"/>
              <w:bottom w:val="nil"/>
              <w:right w:val="nil"/>
            </w:tcBorders>
            <w:vAlign w:val="center"/>
          </w:tcPr>
          <w:p w14:paraId="17EDE3BF" w14:textId="5CD802A8" w:rsidR="00BC2548" w:rsidRPr="008B39E1" w:rsidRDefault="00BC2548"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07A07F91" w14:textId="0827A965" w:rsidR="00BC2548" w:rsidRPr="008B39E1" w:rsidRDefault="00BC2548"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06BB972E" w14:textId="73670FDB" w:rsidR="00BC2548" w:rsidRPr="008B39E1" w:rsidRDefault="00BC2548"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1CD3C826" w14:textId="378446A1" w:rsidR="00BC2548" w:rsidRPr="008B39E1" w:rsidRDefault="00BC2548"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r>
      <w:tr w:rsidR="003C41A4" w:rsidRPr="008B39E1" w14:paraId="52EAFCE0" w14:textId="77777777" w:rsidTr="00FC3E8B">
        <w:trPr>
          <w:trHeight w:val="315"/>
        </w:trPr>
        <w:tc>
          <w:tcPr>
            <w:tcW w:w="1590" w:type="pct"/>
            <w:tcBorders>
              <w:top w:val="nil"/>
              <w:left w:val="nil"/>
              <w:bottom w:val="nil"/>
              <w:right w:val="nil"/>
            </w:tcBorders>
            <w:shd w:val="clear" w:color="auto" w:fill="auto"/>
            <w:noWrap/>
            <w:vAlign w:val="bottom"/>
          </w:tcPr>
          <w:p w14:paraId="04DB3E91" w14:textId="60D8419B" w:rsidR="003C41A4" w:rsidRPr="008B39E1" w:rsidRDefault="003C41A4" w:rsidP="000F0F5A">
            <w:pPr>
              <w:spacing w:after="0" w:line="240" w:lineRule="auto"/>
              <w:rPr>
                <w:rFonts w:ascii="Times New Roman" w:hAnsi="Times New Roman" w:cs="Times New Roman"/>
                <w:color w:val="000000"/>
                <w:sz w:val="20"/>
                <w:szCs w:val="20"/>
              </w:rPr>
            </w:pPr>
            <w:r w:rsidRPr="008B39E1">
              <w:rPr>
                <w:rFonts w:ascii="Times New Roman" w:hAnsi="Times New Roman" w:cs="Times New Roman"/>
                <w:color w:val="000000"/>
                <w:sz w:val="20"/>
                <w:szCs w:val="20"/>
              </w:rPr>
              <w:t>F-test</w:t>
            </w:r>
          </w:p>
        </w:tc>
        <w:tc>
          <w:tcPr>
            <w:tcW w:w="145" w:type="pct"/>
            <w:tcBorders>
              <w:top w:val="nil"/>
              <w:left w:val="nil"/>
              <w:bottom w:val="nil"/>
              <w:right w:val="nil"/>
            </w:tcBorders>
            <w:shd w:val="clear" w:color="auto" w:fill="auto"/>
            <w:noWrap/>
            <w:vAlign w:val="bottom"/>
          </w:tcPr>
          <w:p w14:paraId="69FBF20D" w14:textId="77777777" w:rsidR="003C41A4" w:rsidRPr="008B39E1" w:rsidRDefault="003C41A4"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0181D177" w14:textId="2CDF72CC"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1.69</w:t>
            </w:r>
          </w:p>
        </w:tc>
        <w:tc>
          <w:tcPr>
            <w:tcW w:w="544" w:type="pct"/>
            <w:tcBorders>
              <w:top w:val="nil"/>
              <w:left w:val="nil"/>
              <w:bottom w:val="nil"/>
              <w:right w:val="nil"/>
            </w:tcBorders>
            <w:vAlign w:val="center"/>
          </w:tcPr>
          <w:p w14:paraId="6C4D758E" w14:textId="1343CD56"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c>
          <w:tcPr>
            <w:tcW w:w="545" w:type="pct"/>
            <w:tcBorders>
              <w:top w:val="nil"/>
              <w:left w:val="nil"/>
              <w:bottom w:val="nil"/>
              <w:right w:val="nil"/>
            </w:tcBorders>
            <w:vAlign w:val="center"/>
          </w:tcPr>
          <w:p w14:paraId="72A3B2AF" w14:textId="2B290BD3"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1.85</w:t>
            </w:r>
          </w:p>
        </w:tc>
        <w:tc>
          <w:tcPr>
            <w:tcW w:w="544" w:type="pct"/>
            <w:tcBorders>
              <w:top w:val="nil"/>
              <w:left w:val="nil"/>
              <w:bottom w:val="nil"/>
              <w:right w:val="nil"/>
            </w:tcBorders>
            <w:vAlign w:val="center"/>
          </w:tcPr>
          <w:p w14:paraId="0D0AD0C0" w14:textId="60B75E3D"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c>
          <w:tcPr>
            <w:tcW w:w="544" w:type="pct"/>
            <w:tcBorders>
              <w:top w:val="nil"/>
              <w:left w:val="nil"/>
              <w:bottom w:val="nil"/>
              <w:right w:val="nil"/>
            </w:tcBorders>
            <w:vAlign w:val="center"/>
          </w:tcPr>
          <w:p w14:paraId="72F6FBE3" w14:textId="75A73A06"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2.00</w:t>
            </w:r>
          </w:p>
        </w:tc>
        <w:tc>
          <w:tcPr>
            <w:tcW w:w="544" w:type="pct"/>
            <w:tcBorders>
              <w:top w:val="nil"/>
              <w:left w:val="nil"/>
              <w:bottom w:val="nil"/>
              <w:right w:val="nil"/>
            </w:tcBorders>
            <w:vAlign w:val="center"/>
          </w:tcPr>
          <w:p w14:paraId="082A1EC4" w14:textId="2B69FFA7"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r>
      <w:tr w:rsidR="003C41A4" w:rsidRPr="008B39E1" w14:paraId="3A4CAE66" w14:textId="419E2002" w:rsidTr="00FC3E8B">
        <w:trPr>
          <w:trHeight w:val="315"/>
        </w:trPr>
        <w:tc>
          <w:tcPr>
            <w:tcW w:w="1590" w:type="pct"/>
            <w:tcBorders>
              <w:top w:val="nil"/>
              <w:left w:val="nil"/>
              <w:right w:val="nil"/>
            </w:tcBorders>
            <w:shd w:val="clear" w:color="auto" w:fill="auto"/>
            <w:noWrap/>
            <w:vAlign w:val="bottom"/>
          </w:tcPr>
          <w:p w14:paraId="2AE193F0" w14:textId="77777777" w:rsidR="003C41A4" w:rsidRPr="008B39E1" w:rsidRDefault="003C41A4"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N</w:t>
            </w:r>
          </w:p>
        </w:tc>
        <w:tc>
          <w:tcPr>
            <w:tcW w:w="145" w:type="pct"/>
            <w:tcBorders>
              <w:top w:val="nil"/>
              <w:left w:val="nil"/>
              <w:right w:val="nil"/>
            </w:tcBorders>
            <w:shd w:val="clear" w:color="auto" w:fill="auto"/>
            <w:noWrap/>
            <w:vAlign w:val="bottom"/>
          </w:tcPr>
          <w:p w14:paraId="2AF53495" w14:textId="77777777" w:rsidR="003C41A4" w:rsidRPr="008B39E1" w:rsidRDefault="003C41A4" w:rsidP="000F0F5A">
            <w:pPr>
              <w:spacing w:after="0" w:line="240" w:lineRule="auto"/>
              <w:rPr>
                <w:rFonts w:ascii="Times New Roman" w:eastAsia="Times New Roman" w:hAnsi="Times New Roman" w:cs="Times New Roman"/>
                <w:sz w:val="20"/>
                <w:szCs w:val="20"/>
              </w:rPr>
            </w:pPr>
          </w:p>
        </w:tc>
        <w:tc>
          <w:tcPr>
            <w:tcW w:w="544" w:type="pct"/>
            <w:tcBorders>
              <w:top w:val="nil"/>
              <w:left w:val="nil"/>
              <w:right w:val="nil"/>
            </w:tcBorders>
            <w:shd w:val="clear" w:color="auto" w:fill="auto"/>
            <w:noWrap/>
            <w:vAlign w:val="center"/>
          </w:tcPr>
          <w:p w14:paraId="1BEEFC2B" w14:textId="7D350FE5" w:rsidR="003C41A4" w:rsidRPr="008B39E1" w:rsidRDefault="003C41A4"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576</w:t>
            </w:r>
          </w:p>
        </w:tc>
        <w:tc>
          <w:tcPr>
            <w:tcW w:w="544" w:type="pct"/>
            <w:tcBorders>
              <w:top w:val="nil"/>
              <w:left w:val="nil"/>
              <w:right w:val="nil"/>
            </w:tcBorders>
            <w:vAlign w:val="center"/>
          </w:tcPr>
          <w:p w14:paraId="04D5D346" w14:textId="7F2AE466"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576</w:t>
            </w:r>
          </w:p>
        </w:tc>
        <w:tc>
          <w:tcPr>
            <w:tcW w:w="545" w:type="pct"/>
            <w:tcBorders>
              <w:top w:val="nil"/>
              <w:left w:val="nil"/>
              <w:right w:val="nil"/>
            </w:tcBorders>
            <w:vAlign w:val="center"/>
          </w:tcPr>
          <w:p w14:paraId="6706C3F0" w14:textId="2303175D"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576</w:t>
            </w:r>
          </w:p>
        </w:tc>
        <w:tc>
          <w:tcPr>
            <w:tcW w:w="544" w:type="pct"/>
            <w:tcBorders>
              <w:top w:val="nil"/>
              <w:left w:val="nil"/>
              <w:right w:val="nil"/>
            </w:tcBorders>
            <w:vAlign w:val="center"/>
          </w:tcPr>
          <w:p w14:paraId="2D515A6F" w14:textId="31B9DB62"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576</w:t>
            </w:r>
          </w:p>
        </w:tc>
        <w:tc>
          <w:tcPr>
            <w:tcW w:w="544" w:type="pct"/>
            <w:tcBorders>
              <w:top w:val="nil"/>
              <w:left w:val="nil"/>
              <w:right w:val="nil"/>
            </w:tcBorders>
            <w:vAlign w:val="center"/>
          </w:tcPr>
          <w:p w14:paraId="0AAC20D0" w14:textId="3E97C5AF"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576</w:t>
            </w:r>
          </w:p>
        </w:tc>
        <w:tc>
          <w:tcPr>
            <w:tcW w:w="544" w:type="pct"/>
            <w:tcBorders>
              <w:top w:val="nil"/>
              <w:left w:val="nil"/>
              <w:right w:val="nil"/>
            </w:tcBorders>
            <w:vAlign w:val="center"/>
          </w:tcPr>
          <w:p w14:paraId="6A3ED660" w14:textId="57601C7F"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576</w:t>
            </w:r>
          </w:p>
        </w:tc>
      </w:tr>
      <w:tr w:rsidR="003C41A4" w:rsidRPr="008B39E1" w14:paraId="2D33A9D3" w14:textId="21F17F38" w:rsidTr="00FC3E8B">
        <w:trPr>
          <w:trHeight w:val="315"/>
        </w:trPr>
        <w:tc>
          <w:tcPr>
            <w:tcW w:w="1590" w:type="pct"/>
            <w:tcBorders>
              <w:top w:val="nil"/>
              <w:left w:val="nil"/>
              <w:bottom w:val="single" w:sz="4" w:space="0" w:color="auto"/>
              <w:right w:val="nil"/>
            </w:tcBorders>
            <w:shd w:val="clear" w:color="auto" w:fill="auto"/>
            <w:noWrap/>
            <w:vAlign w:val="bottom"/>
          </w:tcPr>
          <w:p w14:paraId="2ACB6269" w14:textId="77777777" w:rsidR="003C41A4" w:rsidRPr="008B39E1" w:rsidRDefault="003C41A4"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Adj-</w:t>
            </w:r>
            <w:r w:rsidRPr="008B39E1">
              <w:rPr>
                <w:rFonts w:ascii="Times New Roman" w:eastAsia="Times New Roman" w:hAnsi="Times New Roman" w:cs="Times New Roman"/>
                <w:color w:val="000000"/>
                <w:sz w:val="20"/>
                <w:szCs w:val="20"/>
              </w:rPr>
              <w:t xml:space="preserve"> R</w:t>
            </w:r>
            <w:r w:rsidRPr="008B39E1">
              <w:rPr>
                <w:rFonts w:ascii="Times New Roman" w:eastAsia="Times New Roman" w:hAnsi="Times New Roman" w:cs="Times New Roman"/>
                <w:color w:val="000000"/>
                <w:sz w:val="20"/>
                <w:szCs w:val="20"/>
                <w:vertAlign w:val="superscript"/>
              </w:rPr>
              <w:t>2</w:t>
            </w:r>
          </w:p>
        </w:tc>
        <w:tc>
          <w:tcPr>
            <w:tcW w:w="145" w:type="pct"/>
            <w:tcBorders>
              <w:top w:val="nil"/>
              <w:left w:val="nil"/>
              <w:bottom w:val="single" w:sz="4" w:space="0" w:color="auto"/>
              <w:right w:val="nil"/>
            </w:tcBorders>
            <w:shd w:val="clear" w:color="auto" w:fill="auto"/>
            <w:noWrap/>
            <w:vAlign w:val="bottom"/>
          </w:tcPr>
          <w:p w14:paraId="578B2A70" w14:textId="77777777" w:rsidR="003C41A4" w:rsidRPr="008B39E1" w:rsidRDefault="003C41A4"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single" w:sz="4" w:space="0" w:color="auto"/>
              <w:right w:val="nil"/>
            </w:tcBorders>
            <w:shd w:val="clear" w:color="auto" w:fill="auto"/>
            <w:noWrap/>
            <w:vAlign w:val="center"/>
          </w:tcPr>
          <w:p w14:paraId="10E7F1CB" w14:textId="2A5546A5" w:rsidR="003C41A4" w:rsidRPr="008B39E1" w:rsidRDefault="003C41A4"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0.208</w:t>
            </w:r>
          </w:p>
        </w:tc>
        <w:tc>
          <w:tcPr>
            <w:tcW w:w="544" w:type="pct"/>
            <w:tcBorders>
              <w:top w:val="nil"/>
              <w:left w:val="nil"/>
              <w:bottom w:val="single" w:sz="4" w:space="0" w:color="auto"/>
              <w:right w:val="nil"/>
            </w:tcBorders>
            <w:vAlign w:val="center"/>
          </w:tcPr>
          <w:p w14:paraId="3D210769" w14:textId="2483EAA1"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0.208</w:t>
            </w:r>
          </w:p>
        </w:tc>
        <w:tc>
          <w:tcPr>
            <w:tcW w:w="545" w:type="pct"/>
            <w:tcBorders>
              <w:top w:val="nil"/>
              <w:left w:val="nil"/>
              <w:bottom w:val="single" w:sz="4" w:space="0" w:color="auto"/>
              <w:right w:val="nil"/>
            </w:tcBorders>
            <w:vAlign w:val="center"/>
          </w:tcPr>
          <w:p w14:paraId="33E848C5" w14:textId="73CCEF49"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0.208</w:t>
            </w:r>
          </w:p>
        </w:tc>
        <w:tc>
          <w:tcPr>
            <w:tcW w:w="544" w:type="pct"/>
            <w:tcBorders>
              <w:top w:val="nil"/>
              <w:left w:val="nil"/>
              <w:bottom w:val="single" w:sz="4" w:space="0" w:color="auto"/>
              <w:right w:val="nil"/>
            </w:tcBorders>
            <w:vAlign w:val="center"/>
          </w:tcPr>
          <w:p w14:paraId="5FC33666" w14:textId="1804CAB1"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0.208</w:t>
            </w:r>
          </w:p>
        </w:tc>
        <w:tc>
          <w:tcPr>
            <w:tcW w:w="544" w:type="pct"/>
            <w:tcBorders>
              <w:top w:val="nil"/>
              <w:left w:val="nil"/>
              <w:bottom w:val="single" w:sz="4" w:space="0" w:color="auto"/>
              <w:right w:val="nil"/>
            </w:tcBorders>
            <w:vAlign w:val="center"/>
          </w:tcPr>
          <w:p w14:paraId="087C0059" w14:textId="0AE0B5DB"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0.208</w:t>
            </w:r>
          </w:p>
        </w:tc>
        <w:tc>
          <w:tcPr>
            <w:tcW w:w="544" w:type="pct"/>
            <w:tcBorders>
              <w:top w:val="nil"/>
              <w:left w:val="nil"/>
              <w:bottom w:val="single" w:sz="4" w:space="0" w:color="auto"/>
              <w:right w:val="nil"/>
            </w:tcBorders>
            <w:vAlign w:val="center"/>
          </w:tcPr>
          <w:p w14:paraId="48AA4502" w14:textId="69AD45F5" w:rsidR="003C41A4" w:rsidRPr="008B39E1" w:rsidRDefault="003C41A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0.208</w:t>
            </w:r>
          </w:p>
        </w:tc>
      </w:tr>
    </w:tbl>
    <w:p w14:paraId="4C2D1A39" w14:textId="198421AB" w:rsidR="00576C11" w:rsidRPr="008B39E1" w:rsidRDefault="00FC3E8B" w:rsidP="000F0F5A">
      <w:pPr>
        <w:spacing w:after="0" w:line="240" w:lineRule="auto"/>
        <w:rPr>
          <w:rFonts w:ascii="Times New Roman" w:hAnsi="Times New Roman" w:cs="Times New Roman"/>
          <w:sz w:val="24"/>
          <w:szCs w:val="24"/>
        </w:rPr>
      </w:pPr>
      <w:r w:rsidRPr="008B39E1">
        <w:rPr>
          <w:rFonts w:ascii="Times New Roman" w:eastAsia="Times New Roman" w:hAnsi="Times New Roman" w:cs="Times New Roman"/>
          <w:color w:val="000000"/>
          <w:sz w:val="20"/>
          <w:szCs w:val="20"/>
        </w:rPr>
        <w:t>***, **, and * indicate significance at the 0.01, 0.05, and 0.10 levels, respectively, using two-tailed tests. Robust standard errors are clustered at the unique firm level. We present t-</w:t>
      </w:r>
      <w:proofErr w:type="gramStart"/>
      <w:r w:rsidRPr="008B39E1">
        <w:rPr>
          <w:rFonts w:ascii="Times New Roman" w:eastAsia="Times New Roman" w:hAnsi="Times New Roman" w:cs="Times New Roman"/>
          <w:color w:val="000000"/>
          <w:sz w:val="20"/>
          <w:szCs w:val="20"/>
        </w:rPr>
        <w:t>statistic</w:t>
      </w:r>
      <w:proofErr w:type="gramEnd"/>
      <w:r w:rsidRPr="008B39E1">
        <w:rPr>
          <w:rFonts w:ascii="Times New Roman" w:eastAsia="Times New Roman" w:hAnsi="Times New Roman" w:cs="Times New Roman"/>
          <w:color w:val="000000"/>
          <w:sz w:val="20"/>
          <w:szCs w:val="20"/>
        </w:rPr>
        <w:t xml:space="preserve"> in parentheses for each variable. See Appendix A for variable definitions.</w:t>
      </w:r>
      <w:r w:rsidR="002A5531">
        <w:rPr>
          <w:rFonts w:ascii="Times New Roman" w:eastAsia="Times New Roman" w:hAnsi="Times New Roman" w:cs="Times New Roman"/>
          <w:color w:val="000000"/>
          <w:sz w:val="20"/>
          <w:szCs w:val="20"/>
        </w:rPr>
        <w:t xml:space="preserve"> Source: Authors own work.</w:t>
      </w:r>
    </w:p>
    <w:p w14:paraId="7953EC6C"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23A1E4C5" w14:textId="77777777" w:rsidR="00576C11" w:rsidRPr="008B39E1" w:rsidRDefault="00576C11" w:rsidP="000F0F5A">
      <w:pPr>
        <w:spacing w:after="0" w:line="240" w:lineRule="auto"/>
        <w:jc w:val="center"/>
        <w:rPr>
          <w:rFonts w:ascii="Times New Roman" w:hAnsi="Times New Roman" w:cs="Times New Roman"/>
          <w:b/>
          <w:bCs/>
          <w:sz w:val="24"/>
          <w:szCs w:val="24"/>
        </w:rPr>
      </w:pPr>
    </w:p>
    <w:p w14:paraId="14D22506" w14:textId="77777777" w:rsidR="00576C11" w:rsidRPr="008B39E1" w:rsidRDefault="00576C11" w:rsidP="000F0F5A">
      <w:pPr>
        <w:spacing w:after="0" w:line="240" w:lineRule="auto"/>
        <w:rPr>
          <w:rFonts w:ascii="Times New Roman" w:hAnsi="Times New Roman" w:cs="Times New Roman"/>
          <w:b/>
          <w:bCs/>
          <w:sz w:val="24"/>
          <w:szCs w:val="24"/>
        </w:rPr>
      </w:pPr>
    </w:p>
    <w:p w14:paraId="5CE30748" w14:textId="77777777" w:rsidR="00576C11" w:rsidRPr="008B39E1" w:rsidRDefault="00576C11" w:rsidP="000F0F5A">
      <w:pPr>
        <w:spacing w:after="0" w:line="240" w:lineRule="auto"/>
        <w:jc w:val="center"/>
        <w:rPr>
          <w:rFonts w:ascii="Times New Roman" w:hAnsi="Times New Roman" w:cs="Times New Roman"/>
          <w:b/>
          <w:bCs/>
          <w:sz w:val="24"/>
          <w:szCs w:val="24"/>
        </w:rPr>
        <w:sectPr w:rsidR="00576C11" w:rsidRPr="008B39E1" w:rsidSect="00AE1716">
          <w:pgSz w:w="12240" w:h="15840"/>
          <w:pgMar w:top="1440" w:right="1440" w:bottom="1440" w:left="1440" w:header="720" w:footer="720" w:gutter="0"/>
          <w:cols w:space="720"/>
          <w:titlePg/>
          <w:docGrid w:linePitch="360"/>
        </w:sectPr>
      </w:pPr>
    </w:p>
    <w:p w14:paraId="20CB694D" w14:textId="6BC117FF" w:rsidR="00631297" w:rsidRPr="008B39E1" w:rsidRDefault="00DC55B9"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lastRenderedPageBreak/>
        <w:t>TABLE V</w:t>
      </w:r>
    </w:p>
    <w:p w14:paraId="36937FAC" w14:textId="34061974" w:rsidR="00631297" w:rsidRPr="008B39E1" w:rsidRDefault="00631297"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 xml:space="preserve">Headquarters Relocation and </w:t>
      </w:r>
      <w:r w:rsidR="002C1C27" w:rsidRPr="008B39E1">
        <w:rPr>
          <w:rFonts w:ascii="Times New Roman" w:hAnsi="Times New Roman" w:cs="Times New Roman"/>
          <w:b/>
          <w:bCs/>
          <w:sz w:val="24"/>
          <w:szCs w:val="24"/>
        </w:rPr>
        <w:t>Procedural and Non-Procedural</w:t>
      </w:r>
      <w:r w:rsidR="004305E1" w:rsidRPr="008B39E1">
        <w:rPr>
          <w:rFonts w:ascii="Times New Roman" w:hAnsi="Times New Roman" w:cs="Times New Roman"/>
          <w:b/>
          <w:bCs/>
          <w:sz w:val="24"/>
          <w:szCs w:val="24"/>
        </w:rPr>
        <w:t xml:space="preserve"> </w:t>
      </w:r>
      <w:r w:rsidRPr="008B39E1">
        <w:rPr>
          <w:rFonts w:ascii="Times New Roman" w:hAnsi="Times New Roman" w:cs="Times New Roman"/>
          <w:b/>
          <w:bCs/>
          <w:sz w:val="24"/>
          <w:szCs w:val="24"/>
        </w:rPr>
        <w:t xml:space="preserve">Internal Control Ineffectiveness </w:t>
      </w:r>
    </w:p>
    <w:p w14:paraId="23D556F0" w14:textId="02852E8E" w:rsidR="00DD5511" w:rsidRPr="008B39E1" w:rsidRDefault="00DD5511" w:rsidP="000F0F5A">
      <w:pPr>
        <w:spacing w:after="0" w:line="240" w:lineRule="auto"/>
        <w:rPr>
          <w:rFonts w:ascii="Times New Roman" w:hAnsi="Times New Roman" w:cs="Times New Roman"/>
          <w:b/>
          <w:bCs/>
          <w:sz w:val="24"/>
          <w:szCs w:val="24"/>
        </w:rPr>
      </w:pPr>
    </w:p>
    <w:p w14:paraId="1F846410" w14:textId="3BA207AB" w:rsidR="00231124" w:rsidRPr="008B39E1" w:rsidRDefault="00DD5511"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Panel A: </w:t>
      </w:r>
      <w:r w:rsidR="002C1C27" w:rsidRPr="008B39E1">
        <w:rPr>
          <w:rFonts w:ascii="Times New Roman" w:hAnsi="Times New Roman" w:cs="Times New Roman"/>
          <w:b/>
          <w:bCs/>
          <w:sz w:val="24"/>
          <w:szCs w:val="24"/>
        </w:rPr>
        <w:t>Procedural</w:t>
      </w:r>
      <w:r w:rsidR="006352E4" w:rsidRPr="008B39E1">
        <w:rPr>
          <w:rFonts w:ascii="Times New Roman" w:hAnsi="Times New Roman" w:cs="Times New Roman"/>
          <w:b/>
          <w:bCs/>
          <w:sz w:val="24"/>
          <w:szCs w:val="24"/>
        </w:rPr>
        <w:t xml:space="preserve"> Internal Control Ineffectiveness</w:t>
      </w:r>
    </w:p>
    <w:p w14:paraId="52E12840" w14:textId="77777777" w:rsidR="00A43F9B" w:rsidRPr="008B39E1" w:rsidRDefault="00A43F9B" w:rsidP="000F0F5A">
      <w:pPr>
        <w:spacing w:after="0" w:line="240" w:lineRule="auto"/>
        <w:rPr>
          <w:rFonts w:ascii="Times New Roman" w:hAnsi="Times New Roman" w:cs="Times New Roman"/>
          <w:b/>
          <w:bCs/>
          <w:sz w:val="24"/>
          <w:szCs w:val="24"/>
        </w:rPr>
      </w:pPr>
    </w:p>
    <w:tbl>
      <w:tblPr>
        <w:tblW w:w="5000" w:type="pct"/>
        <w:tblLayout w:type="fixed"/>
        <w:tblLook w:val="04A0" w:firstRow="1" w:lastRow="0" w:firstColumn="1" w:lastColumn="0" w:noHBand="0" w:noVBand="1"/>
      </w:tblPr>
      <w:tblGrid>
        <w:gridCol w:w="2977"/>
        <w:gridCol w:w="272"/>
        <w:gridCol w:w="1019"/>
        <w:gridCol w:w="1018"/>
        <w:gridCol w:w="1020"/>
        <w:gridCol w:w="1018"/>
        <w:gridCol w:w="1018"/>
        <w:gridCol w:w="1018"/>
      </w:tblGrid>
      <w:tr w:rsidR="00A43F9B" w:rsidRPr="008B39E1" w14:paraId="39DCABC9" w14:textId="77777777" w:rsidTr="00A43F9B">
        <w:trPr>
          <w:trHeight w:val="315"/>
        </w:trPr>
        <w:tc>
          <w:tcPr>
            <w:tcW w:w="1590" w:type="pct"/>
            <w:tcBorders>
              <w:top w:val="nil"/>
              <w:left w:val="nil"/>
              <w:bottom w:val="nil"/>
              <w:right w:val="nil"/>
            </w:tcBorders>
            <w:shd w:val="clear" w:color="auto" w:fill="auto"/>
            <w:noWrap/>
            <w:vAlign w:val="bottom"/>
            <w:hideMark/>
          </w:tcPr>
          <w:p w14:paraId="127CC6C6" w14:textId="77777777" w:rsidR="00A43F9B" w:rsidRPr="008B39E1" w:rsidRDefault="00A43F9B" w:rsidP="000F0F5A">
            <w:pPr>
              <w:spacing w:after="0" w:line="240" w:lineRule="auto"/>
              <w:ind w:firstLineChars="100" w:firstLine="200"/>
              <w:rPr>
                <w:rFonts w:ascii="Times New Roman" w:eastAsia="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hideMark/>
          </w:tcPr>
          <w:p w14:paraId="57E25832" w14:textId="77777777" w:rsidR="00A43F9B" w:rsidRPr="008B39E1" w:rsidRDefault="00A43F9B" w:rsidP="000F0F5A">
            <w:pPr>
              <w:spacing w:after="0" w:line="240" w:lineRule="auto"/>
              <w:ind w:firstLineChars="100" w:firstLine="200"/>
              <w:rPr>
                <w:rFonts w:ascii="Times New Roman" w:eastAsia="Times New Roman" w:hAnsi="Times New Roman" w:cs="Times New Roman"/>
                <w:color w:val="000000"/>
                <w:sz w:val="20"/>
                <w:szCs w:val="20"/>
              </w:rPr>
            </w:pPr>
          </w:p>
        </w:tc>
        <w:tc>
          <w:tcPr>
            <w:tcW w:w="3264" w:type="pct"/>
            <w:gridSpan w:val="6"/>
            <w:tcBorders>
              <w:top w:val="nil"/>
              <w:left w:val="nil"/>
              <w:bottom w:val="single" w:sz="4" w:space="0" w:color="auto"/>
              <w:right w:val="nil"/>
            </w:tcBorders>
            <w:shd w:val="clear" w:color="auto" w:fill="auto"/>
          </w:tcPr>
          <w:p w14:paraId="215E4DD5" w14:textId="154F08B7" w:rsidR="00A43F9B" w:rsidRPr="008B39E1" w:rsidRDefault="00A43F9B" w:rsidP="000F0F5A">
            <w:pPr>
              <w:spacing w:after="0" w:line="240" w:lineRule="auto"/>
              <w:jc w:val="center"/>
              <w:rPr>
                <w:rFonts w:ascii="Times New Roman" w:eastAsia="Times New Roman" w:hAnsi="Times New Roman" w:cs="Times New Roman"/>
                <w:i/>
                <w:iCs/>
                <w:color w:val="000000"/>
                <w:sz w:val="20"/>
                <w:szCs w:val="20"/>
              </w:rPr>
            </w:pPr>
            <w:r w:rsidRPr="008B39E1">
              <w:rPr>
                <w:rFonts w:ascii="Times New Roman" w:eastAsia="Times New Roman" w:hAnsi="Times New Roman" w:cs="Times New Roman"/>
                <w:i/>
                <w:iCs/>
                <w:color w:val="000000"/>
                <w:sz w:val="20"/>
                <w:szCs w:val="20"/>
              </w:rPr>
              <w:t xml:space="preserve">Dependent Variable: </w:t>
            </w:r>
            <w:proofErr w:type="spellStart"/>
            <w:r w:rsidR="00421886" w:rsidRPr="008B39E1">
              <w:rPr>
                <w:rFonts w:ascii="Times New Roman" w:eastAsia="Times New Roman" w:hAnsi="Times New Roman" w:cs="Times New Roman"/>
                <w:i/>
                <w:iCs/>
                <w:color w:val="000000"/>
                <w:sz w:val="20"/>
                <w:szCs w:val="20"/>
              </w:rPr>
              <w:t>PROC_</w:t>
            </w:r>
            <w:r w:rsidRPr="008B39E1">
              <w:rPr>
                <w:rFonts w:ascii="Times New Roman" w:eastAsia="Times New Roman" w:hAnsi="Times New Roman" w:cs="Times New Roman"/>
                <w:i/>
                <w:iCs/>
                <w:color w:val="000000"/>
                <w:sz w:val="20"/>
                <w:szCs w:val="20"/>
              </w:rPr>
              <w:t>ICINEFF</w:t>
            </w:r>
            <w:proofErr w:type="spellEnd"/>
          </w:p>
        </w:tc>
      </w:tr>
      <w:tr w:rsidR="00A24103" w:rsidRPr="008B39E1" w14:paraId="27F90CA2" w14:textId="77777777" w:rsidTr="00A24103">
        <w:trPr>
          <w:trHeight w:val="315"/>
        </w:trPr>
        <w:tc>
          <w:tcPr>
            <w:tcW w:w="1590" w:type="pct"/>
            <w:tcBorders>
              <w:top w:val="nil"/>
              <w:left w:val="nil"/>
              <w:bottom w:val="single" w:sz="4" w:space="0" w:color="auto"/>
              <w:right w:val="nil"/>
            </w:tcBorders>
            <w:shd w:val="clear" w:color="auto" w:fill="auto"/>
            <w:noWrap/>
            <w:vAlign w:val="bottom"/>
          </w:tcPr>
          <w:p w14:paraId="4593D5ED" w14:textId="77777777" w:rsidR="00A24103" w:rsidRPr="008B39E1" w:rsidRDefault="00A24103"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5382BA84" w14:textId="77777777" w:rsidR="00A24103" w:rsidRPr="008B39E1" w:rsidRDefault="00A24103" w:rsidP="000F0F5A">
            <w:pPr>
              <w:spacing w:after="0" w:line="240" w:lineRule="auto"/>
              <w:rPr>
                <w:rFonts w:ascii="Times New Roman" w:eastAsia="Times New Roman" w:hAnsi="Times New Roman" w:cs="Times New Roman"/>
                <w:color w:val="000000"/>
                <w:sz w:val="20"/>
                <w:szCs w:val="20"/>
              </w:rPr>
            </w:pPr>
          </w:p>
        </w:tc>
        <w:tc>
          <w:tcPr>
            <w:tcW w:w="1088" w:type="pct"/>
            <w:gridSpan w:val="2"/>
            <w:tcBorders>
              <w:top w:val="nil"/>
              <w:left w:val="nil"/>
              <w:bottom w:val="single" w:sz="4" w:space="0" w:color="auto"/>
              <w:right w:val="nil"/>
            </w:tcBorders>
            <w:shd w:val="clear" w:color="auto" w:fill="auto"/>
            <w:noWrap/>
          </w:tcPr>
          <w:p w14:paraId="29493FC4" w14:textId="4022EABD"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social capital</w:t>
            </w:r>
          </w:p>
        </w:tc>
        <w:tc>
          <w:tcPr>
            <w:tcW w:w="1089" w:type="pct"/>
            <w:gridSpan w:val="2"/>
            <w:tcBorders>
              <w:top w:val="nil"/>
              <w:left w:val="nil"/>
              <w:bottom w:val="single" w:sz="4" w:space="0" w:color="auto"/>
              <w:right w:val="nil"/>
            </w:tcBorders>
          </w:tcPr>
          <w:p w14:paraId="37D31DDE" w14:textId="33C83F14"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Norms</w:t>
            </w:r>
          </w:p>
        </w:tc>
        <w:tc>
          <w:tcPr>
            <w:tcW w:w="1088" w:type="pct"/>
            <w:gridSpan w:val="2"/>
            <w:tcBorders>
              <w:top w:val="nil"/>
              <w:left w:val="nil"/>
              <w:bottom w:val="single" w:sz="4" w:space="0" w:color="auto"/>
              <w:right w:val="nil"/>
            </w:tcBorders>
          </w:tcPr>
          <w:p w14:paraId="23A26492" w14:textId="31DCC339"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Network</w:t>
            </w:r>
            <w:r w:rsidR="003C11F0" w:rsidRPr="008B39E1">
              <w:rPr>
                <w:rFonts w:ascii="Times New Roman" w:eastAsia="Times New Roman" w:hAnsi="Times New Roman" w:cs="Times New Roman"/>
                <w:color w:val="000000"/>
                <w:sz w:val="20"/>
                <w:szCs w:val="20"/>
              </w:rPr>
              <w:t>s</w:t>
            </w:r>
          </w:p>
        </w:tc>
      </w:tr>
      <w:tr w:rsidR="00A24103" w:rsidRPr="008B39E1" w14:paraId="475062F6" w14:textId="77777777" w:rsidTr="00A43F9B">
        <w:trPr>
          <w:trHeight w:val="315"/>
        </w:trPr>
        <w:tc>
          <w:tcPr>
            <w:tcW w:w="1590" w:type="pct"/>
            <w:tcBorders>
              <w:top w:val="nil"/>
              <w:left w:val="nil"/>
              <w:bottom w:val="single" w:sz="4" w:space="0" w:color="auto"/>
              <w:right w:val="nil"/>
            </w:tcBorders>
            <w:shd w:val="clear" w:color="auto" w:fill="auto"/>
            <w:noWrap/>
            <w:vAlign w:val="bottom"/>
          </w:tcPr>
          <w:p w14:paraId="61B71BD4" w14:textId="77777777" w:rsidR="00A24103" w:rsidRPr="008B39E1" w:rsidRDefault="00A24103"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48B37DBD" w14:textId="77777777" w:rsidR="00A24103" w:rsidRPr="008B39E1" w:rsidRDefault="00A24103"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single" w:sz="4" w:space="0" w:color="auto"/>
              <w:right w:val="nil"/>
            </w:tcBorders>
            <w:shd w:val="clear" w:color="auto" w:fill="auto"/>
            <w:noWrap/>
          </w:tcPr>
          <w:p w14:paraId="28EBA0D1"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(1)</w:t>
            </w:r>
          </w:p>
        </w:tc>
        <w:tc>
          <w:tcPr>
            <w:tcW w:w="544" w:type="pct"/>
            <w:tcBorders>
              <w:top w:val="nil"/>
              <w:left w:val="nil"/>
              <w:bottom w:val="single" w:sz="4" w:space="0" w:color="auto"/>
              <w:right w:val="nil"/>
            </w:tcBorders>
          </w:tcPr>
          <w:p w14:paraId="72852DA4"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(2)</w:t>
            </w:r>
          </w:p>
        </w:tc>
        <w:tc>
          <w:tcPr>
            <w:tcW w:w="545" w:type="pct"/>
            <w:tcBorders>
              <w:top w:val="nil"/>
              <w:left w:val="nil"/>
              <w:bottom w:val="single" w:sz="4" w:space="0" w:color="auto"/>
              <w:right w:val="nil"/>
            </w:tcBorders>
          </w:tcPr>
          <w:p w14:paraId="7A34E3DC"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(3)</w:t>
            </w:r>
          </w:p>
        </w:tc>
        <w:tc>
          <w:tcPr>
            <w:tcW w:w="544" w:type="pct"/>
            <w:tcBorders>
              <w:top w:val="nil"/>
              <w:left w:val="nil"/>
              <w:bottom w:val="single" w:sz="4" w:space="0" w:color="auto"/>
              <w:right w:val="nil"/>
            </w:tcBorders>
          </w:tcPr>
          <w:p w14:paraId="5A1675B7"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(4)</w:t>
            </w:r>
          </w:p>
        </w:tc>
        <w:tc>
          <w:tcPr>
            <w:tcW w:w="544" w:type="pct"/>
            <w:tcBorders>
              <w:top w:val="nil"/>
              <w:left w:val="nil"/>
              <w:bottom w:val="single" w:sz="4" w:space="0" w:color="auto"/>
              <w:right w:val="nil"/>
            </w:tcBorders>
          </w:tcPr>
          <w:p w14:paraId="2AAEE4FE"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(5)</w:t>
            </w:r>
          </w:p>
        </w:tc>
        <w:tc>
          <w:tcPr>
            <w:tcW w:w="544" w:type="pct"/>
            <w:tcBorders>
              <w:top w:val="nil"/>
              <w:left w:val="nil"/>
              <w:bottom w:val="single" w:sz="4" w:space="0" w:color="auto"/>
              <w:right w:val="nil"/>
            </w:tcBorders>
          </w:tcPr>
          <w:p w14:paraId="1293B340"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(6)</w:t>
            </w:r>
          </w:p>
        </w:tc>
      </w:tr>
      <w:tr w:rsidR="00A24103" w:rsidRPr="008B39E1" w14:paraId="6F839BB3" w14:textId="77777777" w:rsidTr="00A43F9B">
        <w:trPr>
          <w:trHeight w:val="315"/>
        </w:trPr>
        <w:tc>
          <w:tcPr>
            <w:tcW w:w="1590" w:type="pct"/>
            <w:tcBorders>
              <w:top w:val="nil"/>
              <w:left w:val="nil"/>
              <w:bottom w:val="single" w:sz="4" w:space="0" w:color="auto"/>
              <w:right w:val="nil"/>
            </w:tcBorders>
            <w:shd w:val="clear" w:color="auto" w:fill="auto"/>
            <w:noWrap/>
            <w:vAlign w:val="bottom"/>
          </w:tcPr>
          <w:p w14:paraId="71F1407F" w14:textId="77777777" w:rsidR="00A24103" w:rsidRPr="008B39E1" w:rsidRDefault="00A24103"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4F442CC4" w14:textId="77777777" w:rsidR="00A24103" w:rsidRPr="008B39E1" w:rsidRDefault="00A24103"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single" w:sz="4" w:space="0" w:color="auto"/>
              <w:right w:val="nil"/>
            </w:tcBorders>
            <w:shd w:val="clear" w:color="auto" w:fill="auto"/>
            <w:noWrap/>
          </w:tcPr>
          <w:p w14:paraId="057632F3"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228D3C4B"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1F4EBC93"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2AA51724"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5" w:type="pct"/>
            <w:tcBorders>
              <w:top w:val="nil"/>
              <w:left w:val="nil"/>
              <w:bottom w:val="single" w:sz="4" w:space="0" w:color="auto"/>
              <w:right w:val="nil"/>
            </w:tcBorders>
          </w:tcPr>
          <w:p w14:paraId="1A757B59"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2809D2CF"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1BE921FF"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59CA0276"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35CD4601"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1F0365BD"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6062C12D"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4799BA0F"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r>
      <w:tr w:rsidR="00A24103" w:rsidRPr="008B39E1" w14:paraId="10541EC6" w14:textId="77777777" w:rsidTr="00A43F9B">
        <w:trPr>
          <w:trHeight w:val="135"/>
        </w:trPr>
        <w:tc>
          <w:tcPr>
            <w:tcW w:w="1590" w:type="pct"/>
            <w:tcBorders>
              <w:top w:val="nil"/>
              <w:left w:val="nil"/>
              <w:bottom w:val="nil"/>
              <w:right w:val="nil"/>
            </w:tcBorders>
            <w:shd w:val="clear" w:color="auto" w:fill="auto"/>
            <w:noWrap/>
            <w:vAlign w:val="bottom"/>
            <w:hideMark/>
          </w:tcPr>
          <w:p w14:paraId="26F92275" w14:textId="77777777" w:rsidR="00A24103" w:rsidRPr="008B39E1" w:rsidRDefault="00A24103"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nil"/>
              <w:right w:val="nil"/>
            </w:tcBorders>
            <w:shd w:val="clear" w:color="auto" w:fill="auto"/>
            <w:noWrap/>
            <w:vAlign w:val="bottom"/>
            <w:hideMark/>
          </w:tcPr>
          <w:p w14:paraId="3EABA2DE"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hideMark/>
          </w:tcPr>
          <w:p w14:paraId="5993F99C"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1CDBC325"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5" w:type="pct"/>
            <w:tcBorders>
              <w:top w:val="nil"/>
              <w:left w:val="nil"/>
              <w:bottom w:val="nil"/>
              <w:right w:val="nil"/>
            </w:tcBorders>
          </w:tcPr>
          <w:p w14:paraId="35DA2461"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0CB27116"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34A91649"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55C8B853" w14:textId="77777777" w:rsidR="00A24103" w:rsidRPr="008B39E1" w:rsidRDefault="00A24103" w:rsidP="000F0F5A">
            <w:pPr>
              <w:spacing w:after="0" w:line="240" w:lineRule="auto"/>
              <w:rPr>
                <w:rFonts w:ascii="Times New Roman" w:eastAsia="Times New Roman" w:hAnsi="Times New Roman" w:cs="Times New Roman"/>
                <w:sz w:val="20"/>
                <w:szCs w:val="20"/>
              </w:rPr>
            </w:pPr>
          </w:p>
        </w:tc>
      </w:tr>
      <w:tr w:rsidR="00A24103" w:rsidRPr="008B39E1" w14:paraId="17E06542" w14:textId="77777777" w:rsidTr="00A43F9B">
        <w:trPr>
          <w:trHeight w:val="315"/>
        </w:trPr>
        <w:tc>
          <w:tcPr>
            <w:tcW w:w="1590" w:type="pct"/>
            <w:tcBorders>
              <w:top w:val="nil"/>
              <w:left w:val="nil"/>
              <w:bottom w:val="nil"/>
              <w:right w:val="nil"/>
            </w:tcBorders>
            <w:shd w:val="clear" w:color="auto" w:fill="auto"/>
            <w:noWrap/>
            <w:vAlign w:val="bottom"/>
            <w:hideMark/>
          </w:tcPr>
          <w:p w14:paraId="062D4483" w14:textId="5D6EF1F1" w:rsidR="00A24103" w:rsidRPr="008B39E1" w:rsidRDefault="00A24103" w:rsidP="000F0F5A">
            <w:pPr>
              <w:spacing w:after="0" w:line="240" w:lineRule="auto"/>
              <w:rPr>
                <w:rFonts w:ascii="Times New Roman" w:eastAsia="Times New Roman" w:hAnsi="Times New Roman" w:cs="Times New Roman"/>
                <w:i/>
                <w:iCs/>
                <w:color w:val="000000"/>
                <w:sz w:val="20"/>
                <w:szCs w:val="20"/>
              </w:rPr>
            </w:pPr>
            <w:proofErr w:type="spellStart"/>
            <w:r w:rsidRPr="008B39E1">
              <w:rPr>
                <w:rFonts w:ascii="Times New Roman" w:hAnsi="Times New Roman" w:cs="Times New Roman"/>
                <w:i/>
                <w:iCs/>
                <w:color w:val="000000"/>
                <w:sz w:val="20"/>
                <w:szCs w:val="20"/>
              </w:rPr>
              <w:t>POSTxRELOCATExCHSC</w:t>
            </w:r>
            <w:proofErr w:type="spellEnd"/>
          </w:p>
        </w:tc>
        <w:tc>
          <w:tcPr>
            <w:tcW w:w="145" w:type="pct"/>
            <w:tcBorders>
              <w:top w:val="nil"/>
              <w:left w:val="nil"/>
              <w:bottom w:val="nil"/>
              <w:right w:val="nil"/>
            </w:tcBorders>
            <w:shd w:val="clear" w:color="auto" w:fill="auto"/>
            <w:noWrap/>
            <w:vAlign w:val="bottom"/>
            <w:hideMark/>
          </w:tcPr>
          <w:p w14:paraId="11A9FA02" w14:textId="77777777" w:rsidR="00A24103" w:rsidRPr="008B39E1" w:rsidRDefault="00A24103"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nil"/>
              <w:right w:val="nil"/>
            </w:tcBorders>
            <w:shd w:val="clear" w:color="auto" w:fill="auto"/>
            <w:noWrap/>
            <w:vAlign w:val="bottom"/>
            <w:hideMark/>
          </w:tcPr>
          <w:p w14:paraId="40E8DCD8" w14:textId="51083E06" w:rsidR="00A24103" w:rsidRPr="008B39E1" w:rsidRDefault="00A24103" w:rsidP="000F0F5A">
            <w:pPr>
              <w:spacing w:after="0" w:line="240" w:lineRule="auto"/>
              <w:jc w:val="center"/>
              <w:rPr>
                <w:rFonts w:ascii="Times New Roman" w:eastAsia="Times New Roman" w:hAnsi="Times New Roman" w:cs="Times New Roman"/>
                <w:sz w:val="20"/>
                <w:szCs w:val="20"/>
              </w:rPr>
            </w:pPr>
            <w:r w:rsidRPr="008B39E1">
              <w:rPr>
                <w:rFonts w:ascii="Times New Roman" w:hAnsi="Times New Roman" w:cs="Times New Roman"/>
                <w:b/>
                <w:bCs/>
                <w:color w:val="000000"/>
                <w:sz w:val="20"/>
                <w:szCs w:val="20"/>
              </w:rPr>
              <w:t>0.032*</w:t>
            </w:r>
          </w:p>
        </w:tc>
        <w:tc>
          <w:tcPr>
            <w:tcW w:w="544" w:type="pct"/>
            <w:tcBorders>
              <w:top w:val="nil"/>
              <w:left w:val="nil"/>
              <w:bottom w:val="nil"/>
              <w:right w:val="nil"/>
            </w:tcBorders>
            <w:vAlign w:val="bottom"/>
          </w:tcPr>
          <w:p w14:paraId="406D1433"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vAlign w:val="bottom"/>
          </w:tcPr>
          <w:p w14:paraId="33ACB82D"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0422736A"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38B24D8D"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2B55DBDD"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r>
      <w:tr w:rsidR="00A24103" w:rsidRPr="008B39E1" w14:paraId="0B8CB24F" w14:textId="77777777" w:rsidTr="00A43F9B">
        <w:trPr>
          <w:trHeight w:val="315"/>
        </w:trPr>
        <w:tc>
          <w:tcPr>
            <w:tcW w:w="1590" w:type="pct"/>
            <w:tcBorders>
              <w:top w:val="nil"/>
              <w:left w:val="nil"/>
              <w:bottom w:val="nil"/>
              <w:right w:val="nil"/>
            </w:tcBorders>
            <w:shd w:val="clear" w:color="auto" w:fill="auto"/>
            <w:noWrap/>
            <w:vAlign w:val="bottom"/>
            <w:hideMark/>
          </w:tcPr>
          <w:p w14:paraId="169962C1" w14:textId="77777777" w:rsidR="00A24103" w:rsidRPr="008B39E1" w:rsidRDefault="00A24103" w:rsidP="000F0F5A">
            <w:pPr>
              <w:spacing w:after="0" w:line="240" w:lineRule="auto"/>
              <w:rPr>
                <w:rFonts w:ascii="Times New Roman" w:eastAsia="Times New Roman" w:hAnsi="Times New Roman" w:cs="Times New Roman"/>
                <w:i/>
                <w:iCs/>
                <w:sz w:val="20"/>
                <w:szCs w:val="20"/>
              </w:rPr>
            </w:pPr>
          </w:p>
        </w:tc>
        <w:tc>
          <w:tcPr>
            <w:tcW w:w="145" w:type="pct"/>
            <w:tcBorders>
              <w:top w:val="nil"/>
              <w:left w:val="nil"/>
              <w:bottom w:val="nil"/>
              <w:right w:val="nil"/>
            </w:tcBorders>
            <w:shd w:val="clear" w:color="auto" w:fill="auto"/>
            <w:noWrap/>
            <w:vAlign w:val="bottom"/>
            <w:hideMark/>
          </w:tcPr>
          <w:p w14:paraId="156E4E6C"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hideMark/>
          </w:tcPr>
          <w:p w14:paraId="43C34393" w14:textId="7363019C" w:rsidR="00A24103" w:rsidRPr="008B39E1" w:rsidRDefault="00A24103" w:rsidP="000F0F5A">
            <w:pPr>
              <w:spacing w:after="0" w:line="240" w:lineRule="auto"/>
              <w:jc w:val="center"/>
              <w:rPr>
                <w:rFonts w:ascii="Times New Roman" w:eastAsia="Times New Roman" w:hAnsi="Times New Roman" w:cs="Times New Roman"/>
                <w:sz w:val="20"/>
                <w:szCs w:val="20"/>
              </w:rPr>
            </w:pPr>
            <w:r w:rsidRPr="008B39E1">
              <w:rPr>
                <w:rFonts w:ascii="Times New Roman" w:hAnsi="Times New Roman" w:cs="Times New Roman"/>
                <w:b/>
                <w:bCs/>
                <w:color w:val="000000"/>
                <w:sz w:val="20"/>
                <w:szCs w:val="20"/>
              </w:rPr>
              <w:t>(1.727)</w:t>
            </w:r>
          </w:p>
        </w:tc>
        <w:tc>
          <w:tcPr>
            <w:tcW w:w="544" w:type="pct"/>
            <w:tcBorders>
              <w:top w:val="nil"/>
              <w:left w:val="nil"/>
              <w:bottom w:val="nil"/>
              <w:right w:val="nil"/>
            </w:tcBorders>
            <w:vAlign w:val="bottom"/>
          </w:tcPr>
          <w:p w14:paraId="35043D0A"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vAlign w:val="bottom"/>
          </w:tcPr>
          <w:p w14:paraId="7EA66BEA"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5186F48E"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4160D1DD"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3A5FE2CD"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r>
      <w:tr w:rsidR="00A24103" w:rsidRPr="008B39E1" w14:paraId="751CE810" w14:textId="77777777" w:rsidTr="00A43F9B">
        <w:trPr>
          <w:trHeight w:val="315"/>
        </w:trPr>
        <w:tc>
          <w:tcPr>
            <w:tcW w:w="1590" w:type="pct"/>
            <w:tcBorders>
              <w:top w:val="nil"/>
              <w:left w:val="nil"/>
              <w:bottom w:val="nil"/>
              <w:right w:val="nil"/>
            </w:tcBorders>
            <w:shd w:val="clear" w:color="auto" w:fill="auto"/>
            <w:noWrap/>
            <w:vAlign w:val="bottom"/>
            <w:hideMark/>
          </w:tcPr>
          <w:p w14:paraId="2FA14064" w14:textId="04449960" w:rsidR="00A24103" w:rsidRPr="008B39E1" w:rsidRDefault="00A24103" w:rsidP="000F0F5A">
            <w:pPr>
              <w:spacing w:after="0" w:line="240" w:lineRule="auto"/>
              <w:rPr>
                <w:rFonts w:ascii="Times New Roman" w:eastAsia="Times New Roman" w:hAnsi="Times New Roman" w:cs="Times New Roman"/>
                <w:i/>
                <w:iCs/>
                <w:color w:val="000000"/>
                <w:sz w:val="20"/>
                <w:szCs w:val="20"/>
              </w:rPr>
            </w:pPr>
            <w:proofErr w:type="spellStart"/>
            <w:r w:rsidRPr="008B39E1">
              <w:rPr>
                <w:rFonts w:ascii="Times New Roman" w:hAnsi="Times New Roman" w:cs="Times New Roman"/>
                <w:i/>
                <w:iCs/>
                <w:color w:val="000000"/>
                <w:sz w:val="20"/>
                <w:szCs w:val="20"/>
              </w:rPr>
              <w:t>POSTxRELOCATExCHSCraw</w:t>
            </w:r>
            <w:proofErr w:type="spellEnd"/>
          </w:p>
        </w:tc>
        <w:tc>
          <w:tcPr>
            <w:tcW w:w="145" w:type="pct"/>
            <w:tcBorders>
              <w:top w:val="nil"/>
              <w:left w:val="nil"/>
              <w:bottom w:val="nil"/>
              <w:right w:val="nil"/>
            </w:tcBorders>
            <w:shd w:val="clear" w:color="auto" w:fill="auto"/>
            <w:noWrap/>
            <w:vAlign w:val="bottom"/>
            <w:hideMark/>
          </w:tcPr>
          <w:p w14:paraId="582FFEF0" w14:textId="77777777" w:rsidR="00A24103" w:rsidRPr="008B39E1" w:rsidRDefault="00A24103"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nil"/>
              <w:right w:val="nil"/>
            </w:tcBorders>
            <w:shd w:val="clear" w:color="auto" w:fill="auto"/>
            <w:noWrap/>
            <w:vAlign w:val="bottom"/>
            <w:hideMark/>
          </w:tcPr>
          <w:p w14:paraId="44542962" w14:textId="77777777" w:rsidR="00A24103" w:rsidRPr="008B39E1" w:rsidRDefault="00A24103" w:rsidP="000F0F5A">
            <w:pPr>
              <w:spacing w:after="0" w:line="240" w:lineRule="auto"/>
              <w:jc w:val="center"/>
              <w:rPr>
                <w:rFonts w:ascii="Times New Roman" w:eastAsia="Times New Roman" w:hAnsi="Times New Roman" w:cs="Times New Roman"/>
                <w:b/>
                <w:bCs/>
                <w:color w:val="000000"/>
                <w:sz w:val="20"/>
                <w:szCs w:val="20"/>
              </w:rPr>
            </w:pPr>
          </w:p>
        </w:tc>
        <w:tc>
          <w:tcPr>
            <w:tcW w:w="544" w:type="pct"/>
            <w:tcBorders>
              <w:top w:val="nil"/>
              <w:left w:val="nil"/>
              <w:bottom w:val="nil"/>
              <w:right w:val="nil"/>
            </w:tcBorders>
            <w:vAlign w:val="bottom"/>
          </w:tcPr>
          <w:p w14:paraId="6BC47987" w14:textId="4E1DE089"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0.034**</w:t>
            </w:r>
          </w:p>
        </w:tc>
        <w:tc>
          <w:tcPr>
            <w:tcW w:w="545" w:type="pct"/>
            <w:tcBorders>
              <w:top w:val="nil"/>
              <w:left w:val="nil"/>
              <w:bottom w:val="nil"/>
              <w:right w:val="nil"/>
            </w:tcBorders>
            <w:vAlign w:val="bottom"/>
          </w:tcPr>
          <w:p w14:paraId="6B772395"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49CE890"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292C9A3"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44E2636"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r>
      <w:tr w:rsidR="00A24103" w:rsidRPr="008B39E1" w14:paraId="74055922" w14:textId="77777777" w:rsidTr="00A43F9B">
        <w:trPr>
          <w:trHeight w:val="315"/>
        </w:trPr>
        <w:tc>
          <w:tcPr>
            <w:tcW w:w="1590" w:type="pct"/>
            <w:tcBorders>
              <w:top w:val="nil"/>
              <w:left w:val="nil"/>
              <w:bottom w:val="nil"/>
              <w:right w:val="nil"/>
            </w:tcBorders>
            <w:shd w:val="clear" w:color="auto" w:fill="auto"/>
            <w:noWrap/>
            <w:vAlign w:val="bottom"/>
            <w:hideMark/>
          </w:tcPr>
          <w:p w14:paraId="70FFB727" w14:textId="77777777" w:rsidR="00A24103" w:rsidRPr="008B39E1" w:rsidRDefault="00A24103"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hideMark/>
          </w:tcPr>
          <w:p w14:paraId="1D22516D"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hideMark/>
          </w:tcPr>
          <w:p w14:paraId="489A789F" w14:textId="77777777" w:rsidR="00A24103" w:rsidRPr="008B39E1" w:rsidRDefault="00A24103" w:rsidP="000F0F5A">
            <w:pPr>
              <w:spacing w:after="0" w:line="240" w:lineRule="auto"/>
              <w:jc w:val="center"/>
              <w:rPr>
                <w:rFonts w:ascii="Times New Roman" w:eastAsia="Times New Roman" w:hAnsi="Times New Roman" w:cs="Times New Roman"/>
                <w:sz w:val="20"/>
                <w:szCs w:val="20"/>
              </w:rPr>
            </w:pPr>
          </w:p>
        </w:tc>
        <w:tc>
          <w:tcPr>
            <w:tcW w:w="544" w:type="pct"/>
            <w:tcBorders>
              <w:top w:val="nil"/>
              <w:left w:val="nil"/>
              <w:bottom w:val="nil"/>
              <w:right w:val="nil"/>
            </w:tcBorders>
            <w:vAlign w:val="bottom"/>
          </w:tcPr>
          <w:p w14:paraId="6912442D" w14:textId="70F4D305"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(1.991)</w:t>
            </w:r>
          </w:p>
        </w:tc>
        <w:tc>
          <w:tcPr>
            <w:tcW w:w="545" w:type="pct"/>
            <w:tcBorders>
              <w:top w:val="nil"/>
              <w:left w:val="nil"/>
              <w:bottom w:val="nil"/>
              <w:right w:val="nil"/>
            </w:tcBorders>
            <w:vAlign w:val="bottom"/>
          </w:tcPr>
          <w:p w14:paraId="7CCE5912"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33C08DE"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12CF3E9"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495DB28"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r>
      <w:tr w:rsidR="00A24103" w:rsidRPr="008B39E1" w14:paraId="0D91142B" w14:textId="77777777" w:rsidTr="00A43F9B">
        <w:trPr>
          <w:trHeight w:val="315"/>
        </w:trPr>
        <w:tc>
          <w:tcPr>
            <w:tcW w:w="1590" w:type="pct"/>
            <w:tcBorders>
              <w:top w:val="nil"/>
              <w:left w:val="nil"/>
              <w:bottom w:val="nil"/>
              <w:right w:val="nil"/>
            </w:tcBorders>
            <w:shd w:val="clear" w:color="auto" w:fill="auto"/>
            <w:noWrap/>
            <w:vAlign w:val="bottom"/>
          </w:tcPr>
          <w:p w14:paraId="0C395D43" w14:textId="56BC9DCA" w:rsidR="00A24103" w:rsidRPr="008B39E1" w:rsidRDefault="00A24103"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POSTxRELOCATExCHNORMS</w:t>
            </w:r>
            <w:proofErr w:type="spellEnd"/>
          </w:p>
        </w:tc>
        <w:tc>
          <w:tcPr>
            <w:tcW w:w="145" w:type="pct"/>
            <w:tcBorders>
              <w:top w:val="nil"/>
              <w:left w:val="nil"/>
              <w:bottom w:val="nil"/>
              <w:right w:val="nil"/>
            </w:tcBorders>
            <w:shd w:val="clear" w:color="auto" w:fill="auto"/>
            <w:noWrap/>
            <w:vAlign w:val="bottom"/>
          </w:tcPr>
          <w:p w14:paraId="0FBB7E6D"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6EDE015"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EBA6038"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1F0A0EFA" w14:textId="53795FFF"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0.035*</w:t>
            </w:r>
          </w:p>
        </w:tc>
        <w:tc>
          <w:tcPr>
            <w:tcW w:w="544" w:type="pct"/>
            <w:tcBorders>
              <w:top w:val="nil"/>
              <w:left w:val="nil"/>
              <w:bottom w:val="nil"/>
              <w:right w:val="nil"/>
            </w:tcBorders>
            <w:vAlign w:val="bottom"/>
          </w:tcPr>
          <w:p w14:paraId="5FED3CFF"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B49FAF9"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02DF15B"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r>
      <w:tr w:rsidR="00A24103" w:rsidRPr="008B39E1" w14:paraId="74396A04" w14:textId="77777777" w:rsidTr="00A43F9B">
        <w:trPr>
          <w:trHeight w:val="315"/>
        </w:trPr>
        <w:tc>
          <w:tcPr>
            <w:tcW w:w="1590" w:type="pct"/>
            <w:tcBorders>
              <w:top w:val="nil"/>
              <w:left w:val="nil"/>
              <w:bottom w:val="nil"/>
              <w:right w:val="nil"/>
            </w:tcBorders>
            <w:shd w:val="clear" w:color="auto" w:fill="auto"/>
            <w:noWrap/>
            <w:vAlign w:val="bottom"/>
          </w:tcPr>
          <w:p w14:paraId="11BF5C83" w14:textId="77777777" w:rsidR="00A24103" w:rsidRPr="008B39E1" w:rsidRDefault="00A24103"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754CCB7A"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1E2708E0"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A8C2F19"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4EF7B4FD" w14:textId="1AF598E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(1.875)</w:t>
            </w:r>
          </w:p>
        </w:tc>
        <w:tc>
          <w:tcPr>
            <w:tcW w:w="544" w:type="pct"/>
            <w:tcBorders>
              <w:top w:val="nil"/>
              <w:left w:val="nil"/>
              <w:bottom w:val="nil"/>
              <w:right w:val="nil"/>
            </w:tcBorders>
            <w:vAlign w:val="bottom"/>
          </w:tcPr>
          <w:p w14:paraId="0FE71EC3"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093D1F1"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1E9DFBF"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r>
      <w:tr w:rsidR="00A24103" w:rsidRPr="008B39E1" w14:paraId="43FDD9EA" w14:textId="77777777" w:rsidTr="00A43F9B">
        <w:trPr>
          <w:trHeight w:val="315"/>
        </w:trPr>
        <w:tc>
          <w:tcPr>
            <w:tcW w:w="1590" w:type="pct"/>
            <w:tcBorders>
              <w:top w:val="nil"/>
              <w:left w:val="nil"/>
              <w:bottom w:val="nil"/>
              <w:right w:val="nil"/>
            </w:tcBorders>
            <w:shd w:val="clear" w:color="auto" w:fill="auto"/>
            <w:noWrap/>
            <w:vAlign w:val="bottom"/>
          </w:tcPr>
          <w:p w14:paraId="59A50E2B" w14:textId="1CFE24C7" w:rsidR="00A24103" w:rsidRPr="008B39E1" w:rsidRDefault="00A24103"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POSTxRELOCATExNORMSraw</w:t>
            </w:r>
            <w:proofErr w:type="spellEnd"/>
          </w:p>
        </w:tc>
        <w:tc>
          <w:tcPr>
            <w:tcW w:w="145" w:type="pct"/>
            <w:tcBorders>
              <w:top w:val="nil"/>
              <w:left w:val="nil"/>
              <w:bottom w:val="nil"/>
              <w:right w:val="nil"/>
            </w:tcBorders>
            <w:shd w:val="clear" w:color="auto" w:fill="auto"/>
            <w:noWrap/>
            <w:vAlign w:val="bottom"/>
          </w:tcPr>
          <w:p w14:paraId="2C1D650F"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7EBAB754"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C180B46"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21755CB7"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E729B9E" w14:textId="69528BD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0.000</w:t>
            </w:r>
          </w:p>
        </w:tc>
        <w:tc>
          <w:tcPr>
            <w:tcW w:w="544" w:type="pct"/>
            <w:tcBorders>
              <w:top w:val="nil"/>
              <w:left w:val="nil"/>
              <w:bottom w:val="nil"/>
              <w:right w:val="nil"/>
            </w:tcBorders>
            <w:vAlign w:val="bottom"/>
          </w:tcPr>
          <w:p w14:paraId="7DC8CCA5"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B5FC463"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r>
      <w:tr w:rsidR="00A24103" w:rsidRPr="008B39E1" w14:paraId="229A18D5" w14:textId="77777777" w:rsidTr="00A43F9B">
        <w:trPr>
          <w:trHeight w:val="315"/>
        </w:trPr>
        <w:tc>
          <w:tcPr>
            <w:tcW w:w="1590" w:type="pct"/>
            <w:tcBorders>
              <w:top w:val="nil"/>
              <w:left w:val="nil"/>
              <w:bottom w:val="nil"/>
              <w:right w:val="nil"/>
            </w:tcBorders>
            <w:shd w:val="clear" w:color="auto" w:fill="auto"/>
            <w:noWrap/>
            <w:vAlign w:val="bottom"/>
          </w:tcPr>
          <w:p w14:paraId="7C9DB893" w14:textId="77777777" w:rsidR="00A24103" w:rsidRPr="008B39E1" w:rsidRDefault="00A24103"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49BEE60C"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3B8C43EF"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F16FF0B"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00430CF6"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754E32E" w14:textId="038719F3"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(1.311)</w:t>
            </w:r>
          </w:p>
        </w:tc>
        <w:tc>
          <w:tcPr>
            <w:tcW w:w="544" w:type="pct"/>
            <w:tcBorders>
              <w:top w:val="nil"/>
              <w:left w:val="nil"/>
              <w:bottom w:val="nil"/>
              <w:right w:val="nil"/>
            </w:tcBorders>
            <w:vAlign w:val="bottom"/>
          </w:tcPr>
          <w:p w14:paraId="7E9C1CD2"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60AACF5"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r>
      <w:tr w:rsidR="00A24103" w:rsidRPr="008B39E1" w14:paraId="3B9EA636" w14:textId="77777777" w:rsidTr="00A43F9B">
        <w:trPr>
          <w:trHeight w:val="315"/>
        </w:trPr>
        <w:tc>
          <w:tcPr>
            <w:tcW w:w="1590" w:type="pct"/>
            <w:tcBorders>
              <w:top w:val="nil"/>
              <w:left w:val="nil"/>
              <w:bottom w:val="nil"/>
              <w:right w:val="nil"/>
            </w:tcBorders>
            <w:shd w:val="clear" w:color="auto" w:fill="auto"/>
            <w:noWrap/>
            <w:vAlign w:val="bottom"/>
          </w:tcPr>
          <w:p w14:paraId="0CB77774" w14:textId="5CD5AA54" w:rsidR="00A24103" w:rsidRPr="008B39E1" w:rsidRDefault="00A24103"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POSTxRELOCATExCHNETW</w:t>
            </w:r>
            <w:proofErr w:type="spellEnd"/>
          </w:p>
        </w:tc>
        <w:tc>
          <w:tcPr>
            <w:tcW w:w="145" w:type="pct"/>
            <w:tcBorders>
              <w:top w:val="nil"/>
              <w:left w:val="nil"/>
              <w:bottom w:val="nil"/>
              <w:right w:val="nil"/>
            </w:tcBorders>
            <w:shd w:val="clear" w:color="auto" w:fill="auto"/>
            <w:noWrap/>
            <w:vAlign w:val="bottom"/>
          </w:tcPr>
          <w:p w14:paraId="756E48F9"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2F25C43"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6CA4E15"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5A224A01"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07DE20D"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855F6D3" w14:textId="71AE5293"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0.036*</w:t>
            </w:r>
          </w:p>
        </w:tc>
        <w:tc>
          <w:tcPr>
            <w:tcW w:w="544" w:type="pct"/>
            <w:tcBorders>
              <w:top w:val="nil"/>
              <w:left w:val="nil"/>
              <w:bottom w:val="nil"/>
              <w:right w:val="nil"/>
            </w:tcBorders>
            <w:vAlign w:val="bottom"/>
          </w:tcPr>
          <w:p w14:paraId="04EAB7ED"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r>
      <w:tr w:rsidR="00A24103" w:rsidRPr="008B39E1" w14:paraId="4ACAB2C0" w14:textId="77777777" w:rsidTr="00A43F9B">
        <w:trPr>
          <w:trHeight w:val="315"/>
        </w:trPr>
        <w:tc>
          <w:tcPr>
            <w:tcW w:w="1590" w:type="pct"/>
            <w:tcBorders>
              <w:top w:val="nil"/>
              <w:left w:val="nil"/>
              <w:bottom w:val="nil"/>
              <w:right w:val="nil"/>
            </w:tcBorders>
            <w:shd w:val="clear" w:color="auto" w:fill="auto"/>
            <w:noWrap/>
            <w:vAlign w:val="bottom"/>
          </w:tcPr>
          <w:p w14:paraId="505B386A" w14:textId="77777777" w:rsidR="00A24103" w:rsidRPr="008B39E1" w:rsidRDefault="00A24103"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56900955"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6EC2DF03"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4F26DD3"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236C1BAF"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56ECEDC"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7028FF0" w14:textId="48B82270"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(1.892)</w:t>
            </w:r>
          </w:p>
        </w:tc>
        <w:tc>
          <w:tcPr>
            <w:tcW w:w="544" w:type="pct"/>
            <w:tcBorders>
              <w:top w:val="nil"/>
              <w:left w:val="nil"/>
              <w:bottom w:val="nil"/>
              <w:right w:val="nil"/>
            </w:tcBorders>
            <w:vAlign w:val="bottom"/>
          </w:tcPr>
          <w:p w14:paraId="08589EA4"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r>
      <w:tr w:rsidR="00A24103" w:rsidRPr="008B39E1" w14:paraId="072FD8A6" w14:textId="77777777" w:rsidTr="00A43F9B">
        <w:trPr>
          <w:trHeight w:val="315"/>
        </w:trPr>
        <w:tc>
          <w:tcPr>
            <w:tcW w:w="1590" w:type="pct"/>
            <w:tcBorders>
              <w:top w:val="nil"/>
              <w:left w:val="nil"/>
              <w:bottom w:val="nil"/>
              <w:right w:val="nil"/>
            </w:tcBorders>
            <w:shd w:val="clear" w:color="auto" w:fill="auto"/>
            <w:noWrap/>
            <w:vAlign w:val="bottom"/>
          </w:tcPr>
          <w:p w14:paraId="5D3839ED" w14:textId="0BF42FA9" w:rsidR="00A24103" w:rsidRPr="008B39E1" w:rsidRDefault="00A24103"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POSTxRELOCATExNETWraw</w:t>
            </w:r>
            <w:proofErr w:type="spellEnd"/>
          </w:p>
        </w:tc>
        <w:tc>
          <w:tcPr>
            <w:tcW w:w="145" w:type="pct"/>
            <w:tcBorders>
              <w:top w:val="nil"/>
              <w:left w:val="nil"/>
              <w:bottom w:val="nil"/>
              <w:right w:val="nil"/>
            </w:tcBorders>
            <w:shd w:val="clear" w:color="auto" w:fill="auto"/>
            <w:noWrap/>
            <w:vAlign w:val="bottom"/>
          </w:tcPr>
          <w:p w14:paraId="5113328E"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68875C48"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BEC292C"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1DF44FDC"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0A85A5A"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59F07B7"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0F7A2DE" w14:textId="45BF94A2"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0.001</w:t>
            </w:r>
          </w:p>
        </w:tc>
      </w:tr>
      <w:tr w:rsidR="00A24103" w:rsidRPr="008B39E1" w14:paraId="044D6BAA" w14:textId="77777777" w:rsidTr="00A43F9B">
        <w:trPr>
          <w:trHeight w:val="315"/>
        </w:trPr>
        <w:tc>
          <w:tcPr>
            <w:tcW w:w="1590" w:type="pct"/>
            <w:tcBorders>
              <w:top w:val="nil"/>
              <w:left w:val="nil"/>
              <w:bottom w:val="nil"/>
              <w:right w:val="nil"/>
            </w:tcBorders>
            <w:shd w:val="clear" w:color="auto" w:fill="auto"/>
            <w:noWrap/>
            <w:vAlign w:val="bottom"/>
          </w:tcPr>
          <w:p w14:paraId="5196FC0B" w14:textId="77777777" w:rsidR="00A24103" w:rsidRPr="008B39E1" w:rsidRDefault="00A24103"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2850247D"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59497DE"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092EBED"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2F71B97E"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8E5DACF"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5080E57" w14:textId="77777777" w:rsidR="00A24103" w:rsidRPr="008B39E1" w:rsidRDefault="00A24103"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11B02F7" w14:textId="1A2D0AD0"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(1.577)</w:t>
            </w:r>
          </w:p>
        </w:tc>
      </w:tr>
      <w:tr w:rsidR="00A24103" w:rsidRPr="008B39E1" w14:paraId="639D8DB8" w14:textId="77777777" w:rsidTr="00A43F9B">
        <w:trPr>
          <w:trHeight w:val="117"/>
        </w:trPr>
        <w:tc>
          <w:tcPr>
            <w:tcW w:w="1590" w:type="pct"/>
            <w:tcBorders>
              <w:top w:val="nil"/>
              <w:left w:val="nil"/>
              <w:bottom w:val="nil"/>
              <w:right w:val="nil"/>
            </w:tcBorders>
            <w:shd w:val="clear" w:color="auto" w:fill="auto"/>
            <w:noWrap/>
            <w:vAlign w:val="bottom"/>
          </w:tcPr>
          <w:p w14:paraId="29281980" w14:textId="31D52363" w:rsidR="00A24103" w:rsidRPr="008B39E1" w:rsidRDefault="00A24103"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POSTxRELOCATExNO_CHSC</w:t>
            </w:r>
            <w:proofErr w:type="spellEnd"/>
          </w:p>
        </w:tc>
        <w:tc>
          <w:tcPr>
            <w:tcW w:w="145" w:type="pct"/>
            <w:tcBorders>
              <w:top w:val="nil"/>
              <w:left w:val="nil"/>
              <w:bottom w:val="nil"/>
              <w:right w:val="nil"/>
            </w:tcBorders>
            <w:shd w:val="clear" w:color="auto" w:fill="auto"/>
            <w:noWrap/>
            <w:vAlign w:val="bottom"/>
          </w:tcPr>
          <w:p w14:paraId="02670014"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447AB8C6" w14:textId="40F6CCE2"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-0.004</w:t>
            </w:r>
          </w:p>
        </w:tc>
        <w:tc>
          <w:tcPr>
            <w:tcW w:w="544" w:type="pct"/>
            <w:tcBorders>
              <w:top w:val="nil"/>
              <w:left w:val="nil"/>
              <w:bottom w:val="nil"/>
              <w:right w:val="nil"/>
            </w:tcBorders>
            <w:vAlign w:val="bottom"/>
          </w:tcPr>
          <w:p w14:paraId="330F5A4A" w14:textId="53990306"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-0.005</w:t>
            </w:r>
          </w:p>
        </w:tc>
        <w:tc>
          <w:tcPr>
            <w:tcW w:w="545" w:type="pct"/>
            <w:tcBorders>
              <w:top w:val="nil"/>
              <w:left w:val="nil"/>
              <w:bottom w:val="nil"/>
              <w:right w:val="nil"/>
            </w:tcBorders>
            <w:vAlign w:val="bottom"/>
          </w:tcPr>
          <w:p w14:paraId="6F078D37" w14:textId="547BA33B"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-0.003</w:t>
            </w:r>
          </w:p>
        </w:tc>
        <w:tc>
          <w:tcPr>
            <w:tcW w:w="544" w:type="pct"/>
            <w:tcBorders>
              <w:top w:val="nil"/>
              <w:left w:val="nil"/>
              <w:bottom w:val="nil"/>
              <w:right w:val="nil"/>
            </w:tcBorders>
            <w:vAlign w:val="bottom"/>
          </w:tcPr>
          <w:p w14:paraId="0FC16A00" w14:textId="67CD4761"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-0.008</w:t>
            </w:r>
          </w:p>
        </w:tc>
        <w:tc>
          <w:tcPr>
            <w:tcW w:w="544" w:type="pct"/>
            <w:tcBorders>
              <w:top w:val="nil"/>
              <w:left w:val="nil"/>
              <w:bottom w:val="nil"/>
              <w:right w:val="nil"/>
            </w:tcBorders>
            <w:vAlign w:val="bottom"/>
          </w:tcPr>
          <w:p w14:paraId="0A0C2E96" w14:textId="0D4F0FCB"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-0.003</w:t>
            </w:r>
          </w:p>
        </w:tc>
        <w:tc>
          <w:tcPr>
            <w:tcW w:w="544" w:type="pct"/>
            <w:tcBorders>
              <w:top w:val="nil"/>
              <w:left w:val="nil"/>
              <w:bottom w:val="nil"/>
              <w:right w:val="nil"/>
            </w:tcBorders>
            <w:vAlign w:val="bottom"/>
          </w:tcPr>
          <w:p w14:paraId="1063E6E5" w14:textId="611DD649"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-0.008</w:t>
            </w:r>
          </w:p>
        </w:tc>
      </w:tr>
      <w:tr w:rsidR="00A24103" w:rsidRPr="008B39E1" w14:paraId="09B39A51" w14:textId="77777777" w:rsidTr="00A43F9B">
        <w:trPr>
          <w:trHeight w:val="117"/>
        </w:trPr>
        <w:tc>
          <w:tcPr>
            <w:tcW w:w="1590" w:type="pct"/>
            <w:tcBorders>
              <w:top w:val="nil"/>
              <w:left w:val="nil"/>
              <w:bottom w:val="nil"/>
              <w:right w:val="nil"/>
            </w:tcBorders>
            <w:shd w:val="clear" w:color="auto" w:fill="auto"/>
            <w:noWrap/>
            <w:vAlign w:val="bottom"/>
          </w:tcPr>
          <w:p w14:paraId="2E52C454" w14:textId="77777777" w:rsidR="00A24103" w:rsidRPr="008B39E1" w:rsidRDefault="00A24103" w:rsidP="000F0F5A">
            <w:pPr>
              <w:spacing w:after="0" w:line="240" w:lineRule="auto"/>
              <w:rPr>
                <w:rFonts w:ascii="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tcPr>
          <w:p w14:paraId="3842A75A"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701B038E" w14:textId="6D4E15C5"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(-0.216)</w:t>
            </w:r>
          </w:p>
        </w:tc>
        <w:tc>
          <w:tcPr>
            <w:tcW w:w="544" w:type="pct"/>
            <w:tcBorders>
              <w:top w:val="nil"/>
              <w:left w:val="nil"/>
              <w:bottom w:val="nil"/>
              <w:right w:val="nil"/>
            </w:tcBorders>
            <w:vAlign w:val="bottom"/>
          </w:tcPr>
          <w:p w14:paraId="576452F3" w14:textId="6BBA0A48"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(-0.297)</w:t>
            </w:r>
          </w:p>
        </w:tc>
        <w:tc>
          <w:tcPr>
            <w:tcW w:w="545" w:type="pct"/>
            <w:tcBorders>
              <w:top w:val="nil"/>
              <w:left w:val="nil"/>
              <w:bottom w:val="nil"/>
              <w:right w:val="nil"/>
            </w:tcBorders>
            <w:vAlign w:val="bottom"/>
          </w:tcPr>
          <w:p w14:paraId="3ECF1190" w14:textId="5A74ADB0"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(-0.186)</w:t>
            </w:r>
          </w:p>
        </w:tc>
        <w:tc>
          <w:tcPr>
            <w:tcW w:w="544" w:type="pct"/>
            <w:tcBorders>
              <w:top w:val="nil"/>
              <w:left w:val="nil"/>
              <w:bottom w:val="nil"/>
              <w:right w:val="nil"/>
            </w:tcBorders>
            <w:vAlign w:val="bottom"/>
          </w:tcPr>
          <w:p w14:paraId="28E1A09F" w14:textId="0A8527D1"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(-0.462)</w:t>
            </w:r>
          </w:p>
        </w:tc>
        <w:tc>
          <w:tcPr>
            <w:tcW w:w="544" w:type="pct"/>
            <w:tcBorders>
              <w:top w:val="nil"/>
              <w:left w:val="nil"/>
              <w:bottom w:val="nil"/>
              <w:right w:val="nil"/>
            </w:tcBorders>
            <w:vAlign w:val="bottom"/>
          </w:tcPr>
          <w:p w14:paraId="72DBCF65" w14:textId="2DE67D4E"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(-0.184)</w:t>
            </w:r>
          </w:p>
        </w:tc>
        <w:tc>
          <w:tcPr>
            <w:tcW w:w="544" w:type="pct"/>
            <w:tcBorders>
              <w:top w:val="nil"/>
              <w:left w:val="nil"/>
              <w:bottom w:val="nil"/>
              <w:right w:val="nil"/>
            </w:tcBorders>
            <w:vAlign w:val="bottom"/>
          </w:tcPr>
          <w:p w14:paraId="75B05B83" w14:textId="0C2894A3"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(-0.446)</w:t>
            </w:r>
          </w:p>
        </w:tc>
      </w:tr>
      <w:tr w:rsidR="00A24103" w:rsidRPr="008B39E1" w14:paraId="129676FA" w14:textId="77777777" w:rsidTr="00A43F9B">
        <w:trPr>
          <w:trHeight w:val="117"/>
        </w:trPr>
        <w:tc>
          <w:tcPr>
            <w:tcW w:w="1590" w:type="pct"/>
            <w:tcBorders>
              <w:top w:val="nil"/>
              <w:left w:val="nil"/>
              <w:bottom w:val="nil"/>
              <w:right w:val="nil"/>
            </w:tcBorders>
            <w:shd w:val="clear" w:color="auto" w:fill="auto"/>
            <w:noWrap/>
            <w:vAlign w:val="bottom"/>
          </w:tcPr>
          <w:p w14:paraId="4A33D44A" w14:textId="77777777" w:rsidR="00A24103" w:rsidRPr="008B39E1" w:rsidRDefault="00A24103" w:rsidP="000F0F5A">
            <w:pPr>
              <w:spacing w:after="0" w:line="240" w:lineRule="auto"/>
              <w:rPr>
                <w:rFonts w:ascii="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tcPr>
          <w:p w14:paraId="416403EF"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34F7B4A0"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1DD93EEF"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tcPr>
          <w:p w14:paraId="32502460"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479050A4"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06726E49"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6EFD9DAA"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p>
        </w:tc>
      </w:tr>
      <w:tr w:rsidR="00A24103" w:rsidRPr="008B39E1" w14:paraId="6D6D7086" w14:textId="77777777" w:rsidTr="00A43F9B">
        <w:trPr>
          <w:trHeight w:val="315"/>
        </w:trPr>
        <w:tc>
          <w:tcPr>
            <w:tcW w:w="1590" w:type="pct"/>
            <w:tcBorders>
              <w:top w:val="nil"/>
              <w:left w:val="nil"/>
              <w:bottom w:val="nil"/>
              <w:right w:val="nil"/>
            </w:tcBorders>
            <w:shd w:val="clear" w:color="auto" w:fill="auto"/>
            <w:noWrap/>
            <w:vAlign w:val="bottom"/>
          </w:tcPr>
          <w:p w14:paraId="315EFDCF" w14:textId="77777777" w:rsidR="00A24103" w:rsidRPr="008B39E1" w:rsidRDefault="00A24103"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Controls</w:t>
            </w:r>
          </w:p>
        </w:tc>
        <w:tc>
          <w:tcPr>
            <w:tcW w:w="145" w:type="pct"/>
            <w:tcBorders>
              <w:top w:val="nil"/>
              <w:left w:val="nil"/>
              <w:bottom w:val="nil"/>
              <w:right w:val="nil"/>
            </w:tcBorders>
            <w:shd w:val="clear" w:color="auto" w:fill="auto"/>
            <w:noWrap/>
            <w:vAlign w:val="bottom"/>
          </w:tcPr>
          <w:p w14:paraId="243BAF64"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20C443DB"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246BE8B3" w14:textId="7777777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5" w:type="pct"/>
            <w:tcBorders>
              <w:top w:val="nil"/>
              <w:left w:val="nil"/>
              <w:bottom w:val="nil"/>
              <w:right w:val="nil"/>
            </w:tcBorders>
            <w:vAlign w:val="center"/>
          </w:tcPr>
          <w:p w14:paraId="5ACAE116" w14:textId="7777777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3429DC77" w14:textId="7777777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44FB820B" w14:textId="7777777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7FB8BE67" w14:textId="7777777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r>
      <w:tr w:rsidR="00A24103" w:rsidRPr="008B39E1" w14:paraId="2A274514" w14:textId="77777777" w:rsidTr="00A43F9B">
        <w:trPr>
          <w:trHeight w:val="315"/>
        </w:trPr>
        <w:tc>
          <w:tcPr>
            <w:tcW w:w="1590" w:type="pct"/>
            <w:tcBorders>
              <w:top w:val="nil"/>
              <w:left w:val="nil"/>
              <w:bottom w:val="nil"/>
              <w:right w:val="nil"/>
            </w:tcBorders>
            <w:shd w:val="clear" w:color="auto" w:fill="auto"/>
            <w:noWrap/>
            <w:vAlign w:val="bottom"/>
          </w:tcPr>
          <w:p w14:paraId="1A82AF4E" w14:textId="77777777" w:rsidR="00A24103" w:rsidRPr="008B39E1" w:rsidRDefault="00A24103"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Fixed Effects</w:t>
            </w:r>
          </w:p>
        </w:tc>
        <w:tc>
          <w:tcPr>
            <w:tcW w:w="145" w:type="pct"/>
            <w:tcBorders>
              <w:top w:val="nil"/>
              <w:left w:val="nil"/>
              <w:bottom w:val="nil"/>
              <w:right w:val="nil"/>
            </w:tcBorders>
            <w:shd w:val="clear" w:color="auto" w:fill="auto"/>
            <w:noWrap/>
            <w:vAlign w:val="bottom"/>
          </w:tcPr>
          <w:p w14:paraId="228C0919"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7145BBAD"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1B3DD383"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5" w:type="pct"/>
            <w:tcBorders>
              <w:top w:val="nil"/>
              <w:left w:val="nil"/>
              <w:bottom w:val="nil"/>
              <w:right w:val="nil"/>
            </w:tcBorders>
            <w:vAlign w:val="center"/>
          </w:tcPr>
          <w:p w14:paraId="2DE7FF37"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3836A46B"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234E62A2"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112A9874" w14:textId="77777777" w:rsidR="00A24103" w:rsidRPr="008B39E1" w:rsidRDefault="00A24103"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r>
      <w:tr w:rsidR="00A24103" w:rsidRPr="008B39E1" w14:paraId="5BCDFCA0" w14:textId="77777777" w:rsidTr="00A43F9B">
        <w:trPr>
          <w:trHeight w:val="315"/>
        </w:trPr>
        <w:tc>
          <w:tcPr>
            <w:tcW w:w="1590" w:type="pct"/>
            <w:tcBorders>
              <w:top w:val="nil"/>
              <w:left w:val="nil"/>
              <w:bottom w:val="nil"/>
              <w:right w:val="nil"/>
            </w:tcBorders>
            <w:shd w:val="clear" w:color="auto" w:fill="auto"/>
            <w:noWrap/>
            <w:vAlign w:val="bottom"/>
          </w:tcPr>
          <w:p w14:paraId="3F91C6D0" w14:textId="77777777" w:rsidR="00A24103" w:rsidRPr="008B39E1" w:rsidRDefault="00A24103"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Clustered SE</w:t>
            </w:r>
          </w:p>
        </w:tc>
        <w:tc>
          <w:tcPr>
            <w:tcW w:w="145" w:type="pct"/>
            <w:tcBorders>
              <w:top w:val="nil"/>
              <w:left w:val="nil"/>
              <w:bottom w:val="nil"/>
              <w:right w:val="nil"/>
            </w:tcBorders>
            <w:shd w:val="clear" w:color="auto" w:fill="auto"/>
            <w:noWrap/>
            <w:vAlign w:val="bottom"/>
          </w:tcPr>
          <w:p w14:paraId="5684FC64"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46D37892" w14:textId="77777777"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39C556A0" w14:textId="7777777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5" w:type="pct"/>
            <w:tcBorders>
              <w:top w:val="nil"/>
              <w:left w:val="nil"/>
              <w:bottom w:val="nil"/>
              <w:right w:val="nil"/>
            </w:tcBorders>
            <w:vAlign w:val="center"/>
          </w:tcPr>
          <w:p w14:paraId="62990CF1" w14:textId="7777777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24926B12" w14:textId="7777777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20224C23" w14:textId="7777777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5ECF8FD6" w14:textId="7777777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r>
      <w:tr w:rsidR="00A24103" w:rsidRPr="008B39E1" w14:paraId="163EC612" w14:textId="77777777" w:rsidTr="00702126">
        <w:trPr>
          <w:trHeight w:val="315"/>
        </w:trPr>
        <w:tc>
          <w:tcPr>
            <w:tcW w:w="1590" w:type="pct"/>
            <w:tcBorders>
              <w:top w:val="nil"/>
              <w:left w:val="nil"/>
              <w:bottom w:val="nil"/>
              <w:right w:val="nil"/>
            </w:tcBorders>
            <w:shd w:val="clear" w:color="auto" w:fill="auto"/>
            <w:noWrap/>
            <w:vAlign w:val="bottom"/>
          </w:tcPr>
          <w:p w14:paraId="086177F2" w14:textId="77777777" w:rsidR="00A24103" w:rsidRPr="008B39E1" w:rsidRDefault="00A24103" w:rsidP="000F0F5A">
            <w:pPr>
              <w:spacing w:after="0" w:line="240" w:lineRule="auto"/>
              <w:rPr>
                <w:rFonts w:ascii="Times New Roman" w:hAnsi="Times New Roman" w:cs="Times New Roman"/>
                <w:color w:val="000000"/>
                <w:sz w:val="20"/>
                <w:szCs w:val="20"/>
              </w:rPr>
            </w:pPr>
            <w:r w:rsidRPr="008B39E1">
              <w:rPr>
                <w:rFonts w:ascii="Times New Roman" w:hAnsi="Times New Roman" w:cs="Times New Roman"/>
                <w:color w:val="000000"/>
                <w:sz w:val="20"/>
                <w:szCs w:val="20"/>
              </w:rPr>
              <w:t>F-test</w:t>
            </w:r>
          </w:p>
        </w:tc>
        <w:tc>
          <w:tcPr>
            <w:tcW w:w="145" w:type="pct"/>
            <w:tcBorders>
              <w:top w:val="nil"/>
              <w:left w:val="nil"/>
              <w:bottom w:val="nil"/>
              <w:right w:val="nil"/>
            </w:tcBorders>
            <w:shd w:val="clear" w:color="auto" w:fill="auto"/>
            <w:noWrap/>
            <w:vAlign w:val="bottom"/>
          </w:tcPr>
          <w:p w14:paraId="1E432F05"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126F9DD3" w14:textId="32CB264F"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2.31</w:t>
            </w:r>
          </w:p>
        </w:tc>
        <w:tc>
          <w:tcPr>
            <w:tcW w:w="544" w:type="pct"/>
            <w:tcBorders>
              <w:top w:val="nil"/>
              <w:left w:val="nil"/>
              <w:bottom w:val="nil"/>
              <w:right w:val="nil"/>
            </w:tcBorders>
            <w:vAlign w:val="bottom"/>
          </w:tcPr>
          <w:p w14:paraId="5F06544F" w14:textId="511F0474"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c>
          <w:tcPr>
            <w:tcW w:w="545" w:type="pct"/>
            <w:tcBorders>
              <w:top w:val="nil"/>
              <w:left w:val="nil"/>
              <w:bottom w:val="nil"/>
              <w:right w:val="nil"/>
            </w:tcBorders>
            <w:vAlign w:val="bottom"/>
          </w:tcPr>
          <w:p w14:paraId="10DD3E6F" w14:textId="07D0443E"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2.6</w:t>
            </w:r>
          </w:p>
        </w:tc>
        <w:tc>
          <w:tcPr>
            <w:tcW w:w="544" w:type="pct"/>
            <w:tcBorders>
              <w:top w:val="nil"/>
              <w:left w:val="nil"/>
              <w:bottom w:val="nil"/>
              <w:right w:val="nil"/>
            </w:tcBorders>
            <w:vAlign w:val="bottom"/>
          </w:tcPr>
          <w:p w14:paraId="12B0D2BD" w14:textId="58B381EF"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c>
          <w:tcPr>
            <w:tcW w:w="544" w:type="pct"/>
            <w:tcBorders>
              <w:top w:val="nil"/>
              <w:left w:val="nil"/>
              <w:bottom w:val="nil"/>
              <w:right w:val="nil"/>
            </w:tcBorders>
            <w:vAlign w:val="bottom"/>
          </w:tcPr>
          <w:p w14:paraId="249148CC" w14:textId="22C10DF4"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2.72*</w:t>
            </w:r>
          </w:p>
        </w:tc>
        <w:tc>
          <w:tcPr>
            <w:tcW w:w="544" w:type="pct"/>
            <w:tcBorders>
              <w:top w:val="nil"/>
              <w:left w:val="nil"/>
              <w:bottom w:val="nil"/>
              <w:right w:val="nil"/>
            </w:tcBorders>
            <w:vAlign w:val="bottom"/>
          </w:tcPr>
          <w:p w14:paraId="74A26D0F" w14:textId="5157A142"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r>
      <w:tr w:rsidR="00A24103" w:rsidRPr="008B39E1" w14:paraId="7009E1B1" w14:textId="77777777" w:rsidTr="00702126">
        <w:trPr>
          <w:trHeight w:val="315"/>
        </w:trPr>
        <w:tc>
          <w:tcPr>
            <w:tcW w:w="1590" w:type="pct"/>
            <w:tcBorders>
              <w:top w:val="nil"/>
              <w:left w:val="nil"/>
              <w:right w:val="nil"/>
            </w:tcBorders>
            <w:shd w:val="clear" w:color="auto" w:fill="auto"/>
            <w:noWrap/>
            <w:vAlign w:val="bottom"/>
          </w:tcPr>
          <w:p w14:paraId="0141707E" w14:textId="77777777" w:rsidR="00A24103" w:rsidRPr="008B39E1" w:rsidRDefault="00A24103"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N</w:t>
            </w:r>
          </w:p>
        </w:tc>
        <w:tc>
          <w:tcPr>
            <w:tcW w:w="145" w:type="pct"/>
            <w:tcBorders>
              <w:top w:val="nil"/>
              <w:left w:val="nil"/>
              <w:right w:val="nil"/>
            </w:tcBorders>
            <w:shd w:val="clear" w:color="auto" w:fill="auto"/>
            <w:noWrap/>
            <w:vAlign w:val="bottom"/>
          </w:tcPr>
          <w:p w14:paraId="46853DFB"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right w:val="nil"/>
            </w:tcBorders>
            <w:shd w:val="clear" w:color="auto" w:fill="auto"/>
            <w:noWrap/>
            <w:vAlign w:val="bottom"/>
          </w:tcPr>
          <w:p w14:paraId="00A7A679" w14:textId="74C63BE9"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408</w:t>
            </w:r>
          </w:p>
        </w:tc>
        <w:tc>
          <w:tcPr>
            <w:tcW w:w="544" w:type="pct"/>
            <w:tcBorders>
              <w:top w:val="nil"/>
              <w:left w:val="nil"/>
              <w:right w:val="nil"/>
            </w:tcBorders>
            <w:vAlign w:val="bottom"/>
          </w:tcPr>
          <w:p w14:paraId="3AAA1832" w14:textId="70B0A84F"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408</w:t>
            </w:r>
          </w:p>
        </w:tc>
        <w:tc>
          <w:tcPr>
            <w:tcW w:w="545" w:type="pct"/>
            <w:tcBorders>
              <w:top w:val="nil"/>
              <w:left w:val="nil"/>
              <w:right w:val="nil"/>
            </w:tcBorders>
            <w:vAlign w:val="bottom"/>
          </w:tcPr>
          <w:p w14:paraId="2A6EFE66" w14:textId="742E81ED"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408</w:t>
            </w:r>
          </w:p>
        </w:tc>
        <w:tc>
          <w:tcPr>
            <w:tcW w:w="544" w:type="pct"/>
            <w:tcBorders>
              <w:top w:val="nil"/>
              <w:left w:val="nil"/>
              <w:right w:val="nil"/>
            </w:tcBorders>
            <w:vAlign w:val="bottom"/>
          </w:tcPr>
          <w:p w14:paraId="7F2251E3" w14:textId="627EB470"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408</w:t>
            </w:r>
          </w:p>
        </w:tc>
        <w:tc>
          <w:tcPr>
            <w:tcW w:w="544" w:type="pct"/>
            <w:tcBorders>
              <w:top w:val="nil"/>
              <w:left w:val="nil"/>
              <w:right w:val="nil"/>
            </w:tcBorders>
            <w:vAlign w:val="bottom"/>
          </w:tcPr>
          <w:p w14:paraId="62AC7291" w14:textId="40496239"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408</w:t>
            </w:r>
          </w:p>
        </w:tc>
        <w:tc>
          <w:tcPr>
            <w:tcW w:w="544" w:type="pct"/>
            <w:tcBorders>
              <w:top w:val="nil"/>
              <w:left w:val="nil"/>
              <w:right w:val="nil"/>
            </w:tcBorders>
            <w:vAlign w:val="bottom"/>
          </w:tcPr>
          <w:p w14:paraId="0CB3FD52" w14:textId="08552B07"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408</w:t>
            </w:r>
          </w:p>
        </w:tc>
      </w:tr>
      <w:tr w:rsidR="00A24103" w:rsidRPr="008B39E1" w14:paraId="45E8EF2C" w14:textId="77777777" w:rsidTr="00702126">
        <w:trPr>
          <w:trHeight w:val="315"/>
        </w:trPr>
        <w:tc>
          <w:tcPr>
            <w:tcW w:w="1590" w:type="pct"/>
            <w:tcBorders>
              <w:top w:val="nil"/>
              <w:left w:val="nil"/>
              <w:bottom w:val="single" w:sz="4" w:space="0" w:color="auto"/>
              <w:right w:val="nil"/>
            </w:tcBorders>
            <w:shd w:val="clear" w:color="auto" w:fill="auto"/>
            <w:noWrap/>
            <w:vAlign w:val="bottom"/>
          </w:tcPr>
          <w:p w14:paraId="46243844" w14:textId="77777777" w:rsidR="00A24103" w:rsidRPr="008B39E1" w:rsidRDefault="00A24103"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Adj-</w:t>
            </w:r>
            <w:r w:rsidRPr="008B39E1">
              <w:rPr>
                <w:rFonts w:ascii="Times New Roman" w:eastAsia="Times New Roman" w:hAnsi="Times New Roman" w:cs="Times New Roman"/>
                <w:color w:val="000000"/>
                <w:sz w:val="20"/>
                <w:szCs w:val="20"/>
              </w:rPr>
              <w:t xml:space="preserve"> R</w:t>
            </w:r>
            <w:r w:rsidRPr="008B39E1">
              <w:rPr>
                <w:rFonts w:ascii="Times New Roman" w:eastAsia="Times New Roman" w:hAnsi="Times New Roman" w:cs="Times New Roman"/>
                <w:color w:val="000000"/>
                <w:sz w:val="20"/>
                <w:szCs w:val="20"/>
                <w:vertAlign w:val="superscript"/>
              </w:rPr>
              <w:t>2</w:t>
            </w:r>
          </w:p>
        </w:tc>
        <w:tc>
          <w:tcPr>
            <w:tcW w:w="145" w:type="pct"/>
            <w:tcBorders>
              <w:top w:val="nil"/>
              <w:left w:val="nil"/>
              <w:bottom w:val="single" w:sz="4" w:space="0" w:color="auto"/>
              <w:right w:val="nil"/>
            </w:tcBorders>
            <w:shd w:val="clear" w:color="auto" w:fill="auto"/>
            <w:noWrap/>
            <w:vAlign w:val="bottom"/>
          </w:tcPr>
          <w:p w14:paraId="768F5102" w14:textId="77777777" w:rsidR="00A24103" w:rsidRPr="008B39E1" w:rsidRDefault="00A24103"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single" w:sz="4" w:space="0" w:color="auto"/>
              <w:right w:val="nil"/>
            </w:tcBorders>
            <w:shd w:val="clear" w:color="auto" w:fill="auto"/>
            <w:noWrap/>
            <w:vAlign w:val="bottom"/>
          </w:tcPr>
          <w:p w14:paraId="73239E6D" w14:textId="2C7BF8CD" w:rsidR="00A24103" w:rsidRPr="008B39E1" w:rsidRDefault="00A24103"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0.206</w:t>
            </w:r>
          </w:p>
        </w:tc>
        <w:tc>
          <w:tcPr>
            <w:tcW w:w="544" w:type="pct"/>
            <w:tcBorders>
              <w:top w:val="nil"/>
              <w:left w:val="nil"/>
              <w:bottom w:val="single" w:sz="4" w:space="0" w:color="auto"/>
              <w:right w:val="nil"/>
            </w:tcBorders>
            <w:vAlign w:val="bottom"/>
          </w:tcPr>
          <w:p w14:paraId="3881C099" w14:textId="68D3811A"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0.206</w:t>
            </w:r>
          </w:p>
        </w:tc>
        <w:tc>
          <w:tcPr>
            <w:tcW w:w="545" w:type="pct"/>
            <w:tcBorders>
              <w:top w:val="nil"/>
              <w:left w:val="nil"/>
              <w:bottom w:val="single" w:sz="4" w:space="0" w:color="auto"/>
              <w:right w:val="nil"/>
            </w:tcBorders>
            <w:vAlign w:val="bottom"/>
          </w:tcPr>
          <w:p w14:paraId="64C670F1" w14:textId="20C5E355"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0.206</w:t>
            </w:r>
          </w:p>
        </w:tc>
        <w:tc>
          <w:tcPr>
            <w:tcW w:w="544" w:type="pct"/>
            <w:tcBorders>
              <w:top w:val="nil"/>
              <w:left w:val="nil"/>
              <w:bottom w:val="single" w:sz="4" w:space="0" w:color="auto"/>
              <w:right w:val="nil"/>
            </w:tcBorders>
            <w:vAlign w:val="bottom"/>
          </w:tcPr>
          <w:p w14:paraId="2BE7B2B5" w14:textId="6ABAA20E"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0.206</w:t>
            </w:r>
          </w:p>
        </w:tc>
        <w:tc>
          <w:tcPr>
            <w:tcW w:w="544" w:type="pct"/>
            <w:tcBorders>
              <w:top w:val="nil"/>
              <w:left w:val="nil"/>
              <w:bottom w:val="single" w:sz="4" w:space="0" w:color="auto"/>
              <w:right w:val="nil"/>
            </w:tcBorders>
            <w:vAlign w:val="bottom"/>
          </w:tcPr>
          <w:p w14:paraId="72BF8578" w14:textId="20FA34BB"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0.206</w:t>
            </w:r>
          </w:p>
        </w:tc>
        <w:tc>
          <w:tcPr>
            <w:tcW w:w="544" w:type="pct"/>
            <w:tcBorders>
              <w:top w:val="nil"/>
              <w:left w:val="nil"/>
              <w:bottom w:val="single" w:sz="4" w:space="0" w:color="auto"/>
              <w:right w:val="nil"/>
            </w:tcBorders>
            <w:vAlign w:val="bottom"/>
          </w:tcPr>
          <w:p w14:paraId="387043E1" w14:textId="6ED843EF" w:rsidR="00A24103" w:rsidRPr="008B39E1" w:rsidRDefault="00A24103"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0.206</w:t>
            </w:r>
          </w:p>
        </w:tc>
      </w:tr>
    </w:tbl>
    <w:p w14:paraId="4081D6D6" w14:textId="77777777" w:rsidR="00CF4198" w:rsidRPr="008B39E1" w:rsidRDefault="00CF4198" w:rsidP="000F0F5A">
      <w:pPr>
        <w:spacing w:after="0" w:line="240" w:lineRule="auto"/>
        <w:rPr>
          <w:rFonts w:ascii="Times New Roman" w:eastAsia="Times New Roman" w:hAnsi="Times New Roman" w:cs="Times New Roman"/>
          <w:color w:val="000000"/>
          <w:sz w:val="20"/>
          <w:szCs w:val="20"/>
        </w:rPr>
      </w:pPr>
    </w:p>
    <w:p w14:paraId="335707A7" w14:textId="69E0AE31" w:rsidR="00921285" w:rsidRPr="008B39E1" w:rsidRDefault="00CF4198" w:rsidP="000F0F5A">
      <w:pPr>
        <w:spacing w:after="0" w:line="240" w:lineRule="auto"/>
        <w:rPr>
          <w:rFonts w:ascii="Times New Roman" w:hAnsi="Times New Roman" w:cs="Times New Roman"/>
          <w:b/>
          <w:bCs/>
          <w:sz w:val="24"/>
          <w:szCs w:val="24"/>
        </w:rPr>
      </w:pPr>
      <w:r w:rsidRPr="008B39E1">
        <w:rPr>
          <w:rFonts w:ascii="Times New Roman" w:eastAsia="Times New Roman" w:hAnsi="Times New Roman" w:cs="Times New Roman"/>
          <w:color w:val="000000"/>
          <w:sz w:val="20"/>
          <w:szCs w:val="20"/>
        </w:rPr>
        <w:t>***, **, and * indicate significance at the 0.01, 0.05, and 0.10 levels, respectively, using two-tailed tests. Robust standard errors are clustered at the unique firm level. We present t-</w:t>
      </w:r>
      <w:proofErr w:type="gramStart"/>
      <w:r w:rsidRPr="008B39E1">
        <w:rPr>
          <w:rFonts w:ascii="Times New Roman" w:eastAsia="Times New Roman" w:hAnsi="Times New Roman" w:cs="Times New Roman"/>
          <w:color w:val="000000"/>
          <w:sz w:val="20"/>
          <w:szCs w:val="20"/>
        </w:rPr>
        <w:t>statistic</w:t>
      </w:r>
      <w:proofErr w:type="gramEnd"/>
      <w:r w:rsidRPr="008B39E1">
        <w:rPr>
          <w:rFonts w:ascii="Times New Roman" w:eastAsia="Times New Roman" w:hAnsi="Times New Roman" w:cs="Times New Roman"/>
          <w:color w:val="000000"/>
          <w:sz w:val="20"/>
          <w:szCs w:val="20"/>
        </w:rPr>
        <w:t xml:space="preserve"> in parentheses for each variable. See Appendix A for variable definitions.</w:t>
      </w:r>
      <w:r w:rsidR="002A5531">
        <w:rPr>
          <w:rFonts w:ascii="Times New Roman" w:eastAsia="Times New Roman" w:hAnsi="Times New Roman" w:cs="Times New Roman"/>
          <w:color w:val="000000"/>
          <w:sz w:val="20"/>
          <w:szCs w:val="20"/>
        </w:rPr>
        <w:t xml:space="preserve"> Source: Authors own work.</w:t>
      </w:r>
    </w:p>
    <w:p w14:paraId="6376ACA5" w14:textId="77777777" w:rsidR="00921285" w:rsidRPr="008B39E1" w:rsidRDefault="00921285" w:rsidP="000F0F5A">
      <w:pPr>
        <w:spacing w:after="0" w:line="240" w:lineRule="auto"/>
        <w:rPr>
          <w:rFonts w:ascii="Times New Roman" w:hAnsi="Times New Roman" w:cs="Times New Roman"/>
          <w:b/>
          <w:bCs/>
          <w:sz w:val="24"/>
          <w:szCs w:val="24"/>
        </w:rPr>
      </w:pPr>
    </w:p>
    <w:p w14:paraId="5D851C73" w14:textId="77777777" w:rsidR="00921285" w:rsidRPr="008B39E1" w:rsidRDefault="00921285" w:rsidP="000F0F5A">
      <w:pPr>
        <w:spacing w:after="0" w:line="240" w:lineRule="auto"/>
        <w:rPr>
          <w:rFonts w:ascii="Times New Roman" w:hAnsi="Times New Roman" w:cs="Times New Roman"/>
          <w:b/>
          <w:bCs/>
          <w:sz w:val="24"/>
          <w:szCs w:val="24"/>
        </w:rPr>
      </w:pPr>
    </w:p>
    <w:p w14:paraId="6470208C" w14:textId="56485BC3" w:rsidR="00921285" w:rsidRPr="008B39E1" w:rsidRDefault="00921285" w:rsidP="000F0F5A">
      <w:pPr>
        <w:spacing w:after="0" w:line="240" w:lineRule="auto"/>
        <w:jc w:val="right"/>
        <w:rPr>
          <w:rFonts w:ascii="Times New Roman" w:hAnsi="Times New Roman" w:cs="Times New Roman"/>
          <w:sz w:val="24"/>
          <w:szCs w:val="24"/>
        </w:rPr>
      </w:pPr>
      <w:r w:rsidRPr="008B39E1">
        <w:rPr>
          <w:rFonts w:ascii="Times New Roman" w:hAnsi="Times New Roman" w:cs="Times New Roman"/>
          <w:i/>
          <w:iCs/>
          <w:sz w:val="24"/>
          <w:szCs w:val="24"/>
        </w:rPr>
        <w:t xml:space="preserve"> (Continued on next page)</w:t>
      </w:r>
    </w:p>
    <w:p w14:paraId="03D13E65" w14:textId="65149CDF" w:rsidR="00410886" w:rsidRPr="008B39E1" w:rsidRDefault="00410886"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br w:type="page"/>
      </w:r>
      <w:r w:rsidRPr="008B39E1">
        <w:rPr>
          <w:rFonts w:ascii="Times New Roman" w:hAnsi="Times New Roman" w:cs="Times New Roman"/>
          <w:i/>
          <w:iCs/>
          <w:sz w:val="24"/>
          <w:szCs w:val="24"/>
        </w:rPr>
        <w:lastRenderedPageBreak/>
        <w:t>(</w:t>
      </w:r>
      <w:r w:rsidR="00DC55B9" w:rsidRPr="008B39E1">
        <w:rPr>
          <w:rFonts w:ascii="Times New Roman" w:hAnsi="Times New Roman" w:cs="Times New Roman"/>
          <w:i/>
          <w:iCs/>
          <w:sz w:val="24"/>
          <w:szCs w:val="24"/>
        </w:rPr>
        <w:t>TABLE V</w:t>
      </w:r>
      <w:r w:rsidRPr="008B39E1">
        <w:rPr>
          <w:rFonts w:ascii="Times New Roman" w:hAnsi="Times New Roman" w:cs="Times New Roman"/>
          <w:i/>
          <w:iCs/>
          <w:sz w:val="24"/>
          <w:szCs w:val="24"/>
        </w:rPr>
        <w:t xml:space="preserve"> continued)</w:t>
      </w:r>
    </w:p>
    <w:p w14:paraId="7D91544A" w14:textId="77777777" w:rsidR="00410886" w:rsidRPr="008B39E1" w:rsidRDefault="00410886" w:rsidP="000F0F5A">
      <w:pPr>
        <w:spacing w:after="0" w:line="240" w:lineRule="auto"/>
        <w:rPr>
          <w:rFonts w:ascii="Times New Roman" w:hAnsi="Times New Roman" w:cs="Times New Roman"/>
          <w:b/>
          <w:bCs/>
          <w:sz w:val="24"/>
          <w:szCs w:val="24"/>
        </w:rPr>
      </w:pPr>
    </w:p>
    <w:p w14:paraId="1E2583D0" w14:textId="19F2A56E" w:rsidR="00231124" w:rsidRPr="008B39E1" w:rsidRDefault="00231124"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Panel B: </w:t>
      </w:r>
      <w:r w:rsidR="00F62F24" w:rsidRPr="008B39E1">
        <w:rPr>
          <w:rFonts w:ascii="Times New Roman" w:hAnsi="Times New Roman" w:cs="Times New Roman"/>
          <w:b/>
          <w:bCs/>
          <w:sz w:val="24"/>
          <w:szCs w:val="24"/>
        </w:rPr>
        <w:t>Non-</w:t>
      </w:r>
      <w:r w:rsidR="00862CDD" w:rsidRPr="008B39E1">
        <w:rPr>
          <w:rFonts w:ascii="Times New Roman" w:hAnsi="Times New Roman" w:cs="Times New Roman"/>
          <w:b/>
          <w:bCs/>
          <w:sz w:val="24"/>
          <w:szCs w:val="24"/>
        </w:rPr>
        <w:t>Procedural</w:t>
      </w:r>
      <w:r w:rsidR="00F62F24" w:rsidRPr="008B39E1">
        <w:rPr>
          <w:rFonts w:ascii="Times New Roman" w:hAnsi="Times New Roman" w:cs="Times New Roman"/>
          <w:b/>
          <w:bCs/>
          <w:sz w:val="24"/>
          <w:szCs w:val="24"/>
        </w:rPr>
        <w:t xml:space="preserve"> Internal Control Ineffectiveness</w:t>
      </w:r>
    </w:p>
    <w:p w14:paraId="5395B503" w14:textId="77777777" w:rsidR="00631297" w:rsidRPr="008B39E1" w:rsidRDefault="00631297" w:rsidP="000F0F5A">
      <w:pPr>
        <w:spacing w:after="0" w:line="240" w:lineRule="auto"/>
        <w:jc w:val="center"/>
        <w:rPr>
          <w:rFonts w:ascii="Times New Roman" w:hAnsi="Times New Roman" w:cs="Times New Roman"/>
          <w:sz w:val="24"/>
          <w:szCs w:val="24"/>
        </w:rPr>
      </w:pPr>
    </w:p>
    <w:tbl>
      <w:tblPr>
        <w:tblW w:w="5000" w:type="pct"/>
        <w:tblLayout w:type="fixed"/>
        <w:tblLook w:val="04A0" w:firstRow="1" w:lastRow="0" w:firstColumn="1" w:lastColumn="0" w:noHBand="0" w:noVBand="1"/>
      </w:tblPr>
      <w:tblGrid>
        <w:gridCol w:w="2977"/>
        <w:gridCol w:w="272"/>
        <w:gridCol w:w="1019"/>
        <w:gridCol w:w="1018"/>
        <w:gridCol w:w="1020"/>
        <w:gridCol w:w="1018"/>
        <w:gridCol w:w="1018"/>
        <w:gridCol w:w="1018"/>
      </w:tblGrid>
      <w:tr w:rsidR="00F95DE5" w:rsidRPr="008B39E1" w14:paraId="45C3C9A8" w14:textId="77777777" w:rsidTr="00702126">
        <w:trPr>
          <w:trHeight w:val="315"/>
        </w:trPr>
        <w:tc>
          <w:tcPr>
            <w:tcW w:w="1590" w:type="pct"/>
            <w:tcBorders>
              <w:top w:val="nil"/>
              <w:left w:val="nil"/>
              <w:bottom w:val="nil"/>
              <w:right w:val="nil"/>
            </w:tcBorders>
            <w:shd w:val="clear" w:color="auto" w:fill="auto"/>
            <w:noWrap/>
            <w:vAlign w:val="bottom"/>
            <w:hideMark/>
          </w:tcPr>
          <w:p w14:paraId="15B48CBE" w14:textId="77777777" w:rsidR="00F95DE5" w:rsidRPr="008B39E1" w:rsidRDefault="00F95DE5" w:rsidP="000F0F5A">
            <w:pPr>
              <w:spacing w:after="0" w:line="240" w:lineRule="auto"/>
              <w:ind w:firstLineChars="100" w:firstLine="200"/>
              <w:rPr>
                <w:rFonts w:ascii="Times New Roman" w:eastAsia="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hideMark/>
          </w:tcPr>
          <w:p w14:paraId="4A880B0C" w14:textId="77777777" w:rsidR="00F95DE5" w:rsidRPr="008B39E1" w:rsidRDefault="00F95DE5" w:rsidP="000F0F5A">
            <w:pPr>
              <w:spacing w:after="0" w:line="240" w:lineRule="auto"/>
              <w:ind w:firstLineChars="100" w:firstLine="200"/>
              <w:rPr>
                <w:rFonts w:ascii="Times New Roman" w:eastAsia="Times New Roman" w:hAnsi="Times New Roman" w:cs="Times New Roman"/>
                <w:color w:val="000000"/>
                <w:sz w:val="20"/>
                <w:szCs w:val="20"/>
              </w:rPr>
            </w:pPr>
          </w:p>
        </w:tc>
        <w:tc>
          <w:tcPr>
            <w:tcW w:w="3264" w:type="pct"/>
            <w:gridSpan w:val="6"/>
            <w:tcBorders>
              <w:top w:val="nil"/>
              <w:left w:val="nil"/>
              <w:bottom w:val="single" w:sz="4" w:space="0" w:color="auto"/>
              <w:right w:val="nil"/>
            </w:tcBorders>
            <w:shd w:val="clear" w:color="auto" w:fill="auto"/>
          </w:tcPr>
          <w:p w14:paraId="601CA3C6" w14:textId="4B972ECA" w:rsidR="00F95DE5" w:rsidRPr="008B39E1" w:rsidRDefault="00F95DE5" w:rsidP="000F0F5A">
            <w:pPr>
              <w:spacing w:after="0" w:line="240" w:lineRule="auto"/>
              <w:jc w:val="center"/>
              <w:rPr>
                <w:rFonts w:ascii="Times New Roman" w:eastAsia="Times New Roman" w:hAnsi="Times New Roman" w:cs="Times New Roman"/>
                <w:i/>
                <w:iCs/>
                <w:color w:val="000000"/>
                <w:sz w:val="20"/>
                <w:szCs w:val="20"/>
              </w:rPr>
            </w:pPr>
            <w:r w:rsidRPr="008B39E1">
              <w:rPr>
                <w:rFonts w:ascii="Times New Roman" w:eastAsia="Times New Roman" w:hAnsi="Times New Roman" w:cs="Times New Roman"/>
                <w:i/>
                <w:iCs/>
                <w:color w:val="000000"/>
                <w:sz w:val="20"/>
                <w:szCs w:val="20"/>
              </w:rPr>
              <w:t xml:space="preserve">Dependent Variable: </w:t>
            </w:r>
            <w:proofErr w:type="spellStart"/>
            <w:r w:rsidR="006A1B3B" w:rsidRPr="008B39E1">
              <w:rPr>
                <w:rFonts w:ascii="Times New Roman" w:eastAsia="Times New Roman" w:hAnsi="Times New Roman" w:cs="Times New Roman"/>
                <w:i/>
                <w:iCs/>
                <w:color w:val="000000"/>
                <w:sz w:val="20"/>
                <w:szCs w:val="20"/>
              </w:rPr>
              <w:t>NONPROC_</w:t>
            </w:r>
            <w:r w:rsidRPr="008B39E1">
              <w:rPr>
                <w:rFonts w:ascii="Times New Roman" w:eastAsia="Times New Roman" w:hAnsi="Times New Roman" w:cs="Times New Roman"/>
                <w:i/>
                <w:iCs/>
                <w:color w:val="000000"/>
                <w:sz w:val="20"/>
                <w:szCs w:val="20"/>
              </w:rPr>
              <w:t>ICINEFF</w:t>
            </w:r>
            <w:proofErr w:type="spellEnd"/>
          </w:p>
        </w:tc>
      </w:tr>
      <w:tr w:rsidR="005E53BB" w:rsidRPr="008B39E1" w14:paraId="40EE3876" w14:textId="77777777" w:rsidTr="005E53BB">
        <w:trPr>
          <w:trHeight w:val="315"/>
        </w:trPr>
        <w:tc>
          <w:tcPr>
            <w:tcW w:w="1590" w:type="pct"/>
            <w:tcBorders>
              <w:top w:val="nil"/>
              <w:left w:val="nil"/>
              <w:bottom w:val="single" w:sz="4" w:space="0" w:color="auto"/>
              <w:right w:val="nil"/>
            </w:tcBorders>
            <w:shd w:val="clear" w:color="auto" w:fill="auto"/>
            <w:noWrap/>
            <w:vAlign w:val="bottom"/>
          </w:tcPr>
          <w:p w14:paraId="2218A847" w14:textId="77777777" w:rsidR="005E53BB" w:rsidRPr="008B39E1" w:rsidRDefault="005E53BB"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26FC7839" w14:textId="77777777" w:rsidR="005E53BB" w:rsidRPr="008B39E1" w:rsidRDefault="005E53BB" w:rsidP="000F0F5A">
            <w:pPr>
              <w:spacing w:after="0" w:line="240" w:lineRule="auto"/>
              <w:rPr>
                <w:rFonts w:ascii="Times New Roman" w:eastAsia="Times New Roman" w:hAnsi="Times New Roman" w:cs="Times New Roman"/>
                <w:color w:val="000000"/>
                <w:sz w:val="20"/>
                <w:szCs w:val="20"/>
              </w:rPr>
            </w:pPr>
          </w:p>
        </w:tc>
        <w:tc>
          <w:tcPr>
            <w:tcW w:w="1088" w:type="pct"/>
            <w:gridSpan w:val="2"/>
            <w:tcBorders>
              <w:top w:val="nil"/>
              <w:left w:val="nil"/>
              <w:bottom w:val="single" w:sz="4" w:space="0" w:color="auto"/>
              <w:right w:val="nil"/>
            </w:tcBorders>
            <w:shd w:val="clear" w:color="auto" w:fill="auto"/>
            <w:noWrap/>
          </w:tcPr>
          <w:p w14:paraId="236408A4" w14:textId="356F9E42"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social capital</w:t>
            </w:r>
          </w:p>
        </w:tc>
        <w:tc>
          <w:tcPr>
            <w:tcW w:w="1089" w:type="pct"/>
            <w:gridSpan w:val="2"/>
            <w:tcBorders>
              <w:top w:val="nil"/>
              <w:left w:val="nil"/>
              <w:bottom w:val="single" w:sz="4" w:space="0" w:color="auto"/>
              <w:right w:val="nil"/>
            </w:tcBorders>
          </w:tcPr>
          <w:p w14:paraId="210AFEE8" w14:textId="16172551"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Norms</w:t>
            </w:r>
          </w:p>
        </w:tc>
        <w:tc>
          <w:tcPr>
            <w:tcW w:w="1088" w:type="pct"/>
            <w:gridSpan w:val="2"/>
            <w:tcBorders>
              <w:top w:val="nil"/>
              <w:left w:val="nil"/>
              <w:bottom w:val="single" w:sz="4" w:space="0" w:color="auto"/>
              <w:right w:val="nil"/>
            </w:tcBorders>
          </w:tcPr>
          <w:p w14:paraId="1CB7596C" w14:textId="78A70C9C"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Network</w:t>
            </w:r>
            <w:r w:rsidR="003C11F0" w:rsidRPr="008B39E1">
              <w:rPr>
                <w:rFonts w:ascii="Times New Roman" w:eastAsia="Times New Roman" w:hAnsi="Times New Roman" w:cs="Times New Roman"/>
                <w:color w:val="000000"/>
                <w:sz w:val="20"/>
                <w:szCs w:val="20"/>
              </w:rPr>
              <w:t>s</w:t>
            </w:r>
          </w:p>
        </w:tc>
      </w:tr>
      <w:tr w:rsidR="005E53BB" w:rsidRPr="008B39E1" w14:paraId="6E4D16EA" w14:textId="77777777" w:rsidTr="00702126">
        <w:trPr>
          <w:trHeight w:val="315"/>
        </w:trPr>
        <w:tc>
          <w:tcPr>
            <w:tcW w:w="1590" w:type="pct"/>
            <w:tcBorders>
              <w:top w:val="nil"/>
              <w:left w:val="nil"/>
              <w:bottom w:val="single" w:sz="4" w:space="0" w:color="auto"/>
              <w:right w:val="nil"/>
            </w:tcBorders>
            <w:shd w:val="clear" w:color="auto" w:fill="auto"/>
            <w:noWrap/>
            <w:vAlign w:val="bottom"/>
          </w:tcPr>
          <w:p w14:paraId="031C0D00" w14:textId="77777777" w:rsidR="005E53BB" w:rsidRPr="008B39E1" w:rsidRDefault="005E53BB"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662B59BE" w14:textId="77777777" w:rsidR="005E53BB" w:rsidRPr="008B39E1" w:rsidRDefault="005E53BB"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single" w:sz="4" w:space="0" w:color="auto"/>
              <w:right w:val="nil"/>
            </w:tcBorders>
            <w:shd w:val="clear" w:color="auto" w:fill="auto"/>
            <w:noWrap/>
          </w:tcPr>
          <w:p w14:paraId="281EB654"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(1)</w:t>
            </w:r>
          </w:p>
        </w:tc>
        <w:tc>
          <w:tcPr>
            <w:tcW w:w="544" w:type="pct"/>
            <w:tcBorders>
              <w:top w:val="nil"/>
              <w:left w:val="nil"/>
              <w:bottom w:val="single" w:sz="4" w:space="0" w:color="auto"/>
              <w:right w:val="nil"/>
            </w:tcBorders>
          </w:tcPr>
          <w:p w14:paraId="3D457900"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(2)</w:t>
            </w:r>
          </w:p>
        </w:tc>
        <w:tc>
          <w:tcPr>
            <w:tcW w:w="545" w:type="pct"/>
            <w:tcBorders>
              <w:top w:val="nil"/>
              <w:left w:val="nil"/>
              <w:bottom w:val="single" w:sz="4" w:space="0" w:color="auto"/>
              <w:right w:val="nil"/>
            </w:tcBorders>
          </w:tcPr>
          <w:p w14:paraId="2D3FCF97"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(3)</w:t>
            </w:r>
          </w:p>
        </w:tc>
        <w:tc>
          <w:tcPr>
            <w:tcW w:w="544" w:type="pct"/>
            <w:tcBorders>
              <w:top w:val="nil"/>
              <w:left w:val="nil"/>
              <w:bottom w:val="single" w:sz="4" w:space="0" w:color="auto"/>
              <w:right w:val="nil"/>
            </w:tcBorders>
          </w:tcPr>
          <w:p w14:paraId="040B9E7D"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(4)</w:t>
            </w:r>
          </w:p>
        </w:tc>
        <w:tc>
          <w:tcPr>
            <w:tcW w:w="544" w:type="pct"/>
            <w:tcBorders>
              <w:top w:val="nil"/>
              <w:left w:val="nil"/>
              <w:bottom w:val="single" w:sz="4" w:space="0" w:color="auto"/>
              <w:right w:val="nil"/>
            </w:tcBorders>
          </w:tcPr>
          <w:p w14:paraId="4CCBD197"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(5)</w:t>
            </w:r>
          </w:p>
        </w:tc>
        <w:tc>
          <w:tcPr>
            <w:tcW w:w="544" w:type="pct"/>
            <w:tcBorders>
              <w:top w:val="nil"/>
              <w:left w:val="nil"/>
              <w:bottom w:val="single" w:sz="4" w:space="0" w:color="auto"/>
              <w:right w:val="nil"/>
            </w:tcBorders>
          </w:tcPr>
          <w:p w14:paraId="42345FD4"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(6)</w:t>
            </w:r>
          </w:p>
        </w:tc>
      </w:tr>
      <w:tr w:rsidR="005E53BB" w:rsidRPr="008B39E1" w14:paraId="52922BD5" w14:textId="77777777" w:rsidTr="00702126">
        <w:trPr>
          <w:trHeight w:val="315"/>
        </w:trPr>
        <w:tc>
          <w:tcPr>
            <w:tcW w:w="1590" w:type="pct"/>
            <w:tcBorders>
              <w:top w:val="nil"/>
              <w:left w:val="nil"/>
              <w:bottom w:val="single" w:sz="4" w:space="0" w:color="auto"/>
              <w:right w:val="nil"/>
            </w:tcBorders>
            <w:shd w:val="clear" w:color="auto" w:fill="auto"/>
            <w:noWrap/>
            <w:vAlign w:val="bottom"/>
          </w:tcPr>
          <w:p w14:paraId="1E74F31D" w14:textId="77777777" w:rsidR="005E53BB" w:rsidRPr="008B39E1" w:rsidRDefault="005E53BB"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079F6CCA" w14:textId="77777777" w:rsidR="005E53BB" w:rsidRPr="008B39E1" w:rsidRDefault="005E53BB"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single" w:sz="4" w:space="0" w:color="auto"/>
              <w:right w:val="nil"/>
            </w:tcBorders>
            <w:shd w:val="clear" w:color="auto" w:fill="auto"/>
            <w:noWrap/>
          </w:tcPr>
          <w:p w14:paraId="0A1D3F47"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1F113B9F"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7328F868"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05CEB016"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5" w:type="pct"/>
            <w:tcBorders>
              <w:top w:val="nil"/>
              <w:left w:val="nil"/>
              <w:bottom w:val="single" w:sz="4" w:space="0" w:color="auto"/>
              <w:right w:val="nil"/>
            </w:tcBorders>
          </w:tcPr>
          <w:p w14:paraId="6545EAAC"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4648A88B"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6C76B116"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20749BF8"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3490400D"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1CF60D17"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2660E115"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6DA79F2B"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r>
      <w:tr w:rsidR="005E53BB" w:rsidRPr="008B39E1" w14:paraId="458C8EBA" w14:textId="77777777" w:rsidTr="00702126">
        <w:trPr>
          <w:trHeight w:val="135"/>
        </w:trPr>
        <w:tc>
          <w:tcPr>
            <w:tcW w:w="1590" w:type="pct"/>
            <w:tcBorders>
              <w:top w:val="nil"/>
              <w:left w:val="nil"/>
              <w:bottom w:val="nil"/>
              <w:right w:val="nil"/>
            </w:tcBorders>
            <w:shd w:val="clear" w:color="auto" w:fill="auto"/>
            <w:noWrap/>
            <w:vAlign w:val="bottom"/>
            <w:hideMark/>
          </w:tcPr>
          <w:p w14:paraId="4CA863EB" w14:textId="77777777" w:rsidR="005E53BB" w:rsidRPr="008B39E1" w:rsidRDefault="005E53BB"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nil"/>
              <w:right w:val="nil"/>
            </w:tcBorders>
            <w:shd w:val="clear" w:color="auto" w:fill="auto"/>
            <w:noWrap/>
            <w:vAlign w:val="bottom"/>
            <w:hideMark/>
          </w:tcPr>
          <w:p w14:paraId="730E0A88"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hideMark/>
          </w:tcPr>
          <w:p w14:paraId="7CB6ED47"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10B9AFF6"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5" w:type="pct"/>
            <w:tcBorders>
              <w:top w:val="nil"/>
              <w:left w:val="nil"/>
              <w:bottom w:val="nil"/>
              <w:right w:val="nil"/>
            </w:tcBorders>
          </w:tcPr>
          <w:p w14:paraId="3EA02AE3"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219A1AFC"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300A0B31"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0C5C21E2" w14:textId="77777777" w:rsidR="005E53BB" w:rsidRPr="008B39E1" w:rsidRDefault="005E53BB" w:rsidP="000F0F5A">
            <w:pPr>
              <w:spacing w:after="0" w:line="240" w:lineRule="auto"/>
              <w:rPr>
                <w:rFonts w:ascii="Times New Roman" w:eastAsia="Times New Roman" w:hAnsi="Times New Roman" w:cs="Times New Roman"/>
                <w:sz w:val="20"/>
                <w:szCs w:val="20"/>
              </w:rPr>
            </w:pPr>
          </w:p>
        </w:tc>
      </w:tr>
      <w:tr w:rsidR="005E53BB" w:rsidRPr="008B39E1" w14:paraId="6D689389" w14:textId="77777777" w:rsidTr="00702126">
        <w:trPr>
          <w:trHeight w:val="315"/>
        </w:trPr>
        <w:tc>
          <w:tcPr>
            <w:tcW w:w="1590" w:type="pct"/>
            <w:tcBorders>
              <w:top w:val="nil"/>
              <w:left w:val="nil"/>
              <w:bottom w:val="nil"/>
              <w:right w:val="nil"/>
            </w:tcBorders>
            <w:shd w:val="clear" w:color="auto" w:fill="auto"/>
            <w:noWrap/>
            <w:vAlign w:val="bottom"/>
            <w:hideMark/>
          </w:tcPr>
          <w:p w14:paraId="3C4C552E" w14:textId="1DF1DD93" w:rsidR="005E53BB" w:rsidRPr="008B39E1" w:rsidRDefault="005E53BB" w:rsidP="000F0F5A">
            <w:pPr>
              <w:spacing w:after="0" w:line="240" w:lineRule="auto"/>
              <w:rPr>
                <w:rFonts w:ascii="Times New Roman" w:eastAsia="Times New Roman" w:hAnsi="Times New Roman" w:cs="Times New Roman"/>
                <w:i/>
                <w:iCs/>
                <w:color w:val="000000"/>
                <w:sz w:val="20"/>
                <w:szCs w:val="20"/>
              </w:rPr>
            </w:pPr>
            <w:proofErr w:type="spellStart"/>
            <w:r w:rsidRPr="008B39E1">
              <w:rPr>
                <w:rFonts w:ascii="Times New Roman" w:hAnsi="Times New Roman" w:cs="Times New Roman"/>
                <w:i/>
                <w:iCs/>
                <w:color w:val="000000"/>
                <w:sz w:val="20"/>
                <w:szCs w:val="20"/>
              </w:rPr>
              <w:t>POSTxRELOCATExCHSC</w:t>
            </w:r>
            <w:proofErr w:type="spellEnd"/>
          </w:p>
        </w:tc>
        <w:tc>
          <w:tcPr>
            <w:tcW w:w="145" w:type="pct"/>
            <w:tcBorders>
              <w:top w:val="nil"/>
              <w:left w:val="nil"/>
              <w:bottom w:val="nil"/>
              <w:right w:val="nil"/>
            </w:tcBorders>
            <w:shd w:val="clear" w:color="auto" w:fill="auto"/>
            <w:noWrap/>
            <w:vAlign w:val="bottom"/>
            <w:hideMark/>
          </w:tcPr>
          <w:p w14:paraId="576C96DB" w14:textId="77777777" w:rsidR="005E53BB" w:rsidRPr="008B39E1" w:rsidRDefault="005E53BB"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nil"/>
              <w:right w:val="nil"/>
            </w:tcBorders>
            <w:shd w:val="clear" w:color="auto" w:fill="auto"/>
            <w:noWrap/>
            <w:vAlign w:val="bottom"/>
            <w:hideMark/>
          </w:tcPr>
          <w:p w14:paraId="7BE444E5" w14:textId="1E5D956F" w:rsidR="005E53BB" w:rsidRPr="008B39E1" w:rsidRDefault="005E53BB" w:rsidP="000F0F5A">
            <w:pPr>
              <w:spacing w:after="0" w:line="240" w:lineRule="auto"/>
              <w:jc w:val="center"/>
              <w:rPr>
                <w:rFonts w:ascii="Times New Roman" w:eastAsia="Times New Roman" w:hAnsi="Times New Roman" w:cs="Times New Roman"/>
                <w:sz w:val="20"/>
                <w:szCs w:val="20"/>
              </w:rPr>
            </w:pPr>
            <w:r w:rsidRPr="008B39E1">
              <w:rPr>
                <w:rFonts w:ascii="Times New Roman" w:hAnsi="Times New Roman" w:cs="Times New Roman"/>
                <w:b/>
                <w:bCs/>
                <w:color w:val="000000"/>
                <w:sz w:val="20"/>
                <w:szCs w:val="20"/>
              </w:rPr>
              <w:t>0.042***</w:t>
            </w:r>
          </w:p>
        </w:tc>
        <w:tc>
          <w:tcPr>
            <w:tcW w:w="544" w:type="pct"/>
            <w:tcBorders>
              <w:top w:val="nil"/>
              <w:left w:val="nil"/>
              <w:bottom w:val="nil"/>
              <w:right w:val="nil"/>
            </w:tcBorders>
            <w:vAlign w:val="bottom"/>
          </w:tcPr>
          <w:p w14:paraId="7F33F043"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vAlign w:val="bottom"/>
          </w:tcPr>
          <w:p w14:paraId="069529E9"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237594F5"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70E02F27"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637DD531"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r>
      <w:tr w:rsidR="005E53BB" w:rsidRPr="008B39E1" w14:paraId="41B83E4E" w14:textId="77777777" w:rsidTr="00702126">
        <w:trPr>
          <w:trHeight w:val="315"/>
        </w:trPr>
        <w:tc>
          <w:tcPr>
            <w:tcW w:w="1590" w:type="pct"/>
            <w:tcBorders>
              <w:top w:val="nil"/>
              <w:left w:val="nil"/>
              <w:bottom w:val="nil"/>
              <w:right w:val="nil"/>
            </w:tcBorders>
            <w:shd w:val="clear" w:color="auto" w:fill="auto"/>
            <w:noWrap/>
            <w:vAlign w:val="bottom"/>
            <w:hideMark/>
          </w:tcPr>
          <w:p w14:paraId="5FF0EDB2" w14:textId="77777777" w:rsidR="005E53BB" w:rsidRPr="008B39E1" w:rsidRDefault="005E53BB" w:rsidP="000F0F5A">
            <w:pPr>
              <w:spacing w:after="0" w:line="240" w:lineRule="auto"/>
              <w:rPr>
                <w:rFonts w:ascii="Times New Roman" w:eastAsia="Times New Roman" w:hAnsi="Times New Roman" w:cs="Times New Roman"/>
                <w:i/>
                <w:iCs/>
                <w:sz w:val="20"/>
                <w:szCs w:val="20"/>
              </w:rPr>
            </w:pPr>
          </w:p>
        </w:tc>
        <w:tc>
          <w:tcPr>
            <w:tcW w:w="145" w:type="pct"/>
            <w:tcBorders>
              <w:top w:val="nil"/>
              <w:left w:val="nil"/>
              <w:bottom w:val="nil"/>
              <w:right w:val="nil"/>
            </w:tcBorders>
            <w:shd w:val="clear" w:color="auto" w:fill="auto"/>
            <w:noWrap/>
            <w:vAlign w:val="bottom"/>
            <w:hideMark/>
          </w:tcPr>
          <w:p w14:paraId="38DBBA7A"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hideMark/>
          </w:tcPr>
          <w:p w14:paraId="608DBAFA" w14:textId="68626E5A" w:rsidR="005E53BB" w:rsidRPr="008B39E1" w:rsidRDefault="005E53BB" w:rsidP="000F0F5A">
            <w:pPr>
              <w:spacing w:after="0" w:line="240" w:lineRule="auto"/>
              <w:jc w:val="center"/>
              <w:rPr>
                <w:rFonts w:ascii="Times New Roman" w:eastAsia="Times New Roman" w:hAnsi="Times New Roman" w:cs="Times New Roman"/>
                <w:sz w:val="20"/>
                <w:szCs w:val="20"/>
              </w:rPr>
            </w:pPr>
            <w:r w:rsidRPr="008B39E1">
              <w:rPr>
                <w:rFonts w:ascii="Times New Roman" w:hAnsi="Times New Roman" w:cs="Times New Roman"/>
                <w:b/>
                <w:bCs/>
                <w:color w:val="000000"/>
                <w:sz w:val="20"/>
                <w:szCs w:val="20"/>
              </w:rPr>
              <w:t>(2.621)</w:t>
            </w:r>
          </w:p>
        </w:tc>
        <w:tc>
          <w:tcPr>
            <w:tcW w:w="544" w:type="pct"/>
            <w:tcBorders>
              <w:top w:val="nil"/>
              <w:left w:val="nil"/>
              <w:bottom w:val="nil"/>
              <w:right w:val="nil"/>
            </w:tcBorders>
            <w:vAlign w:val="bottom"/>
          </w:tcPr>
          <w:p w14:paraId="384AEECC"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vAlign w:val="bottom"/>
          </w:tcPr>
          <w:p w14:paraId="2DB7EA1E"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039D4ADB"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444D71C0"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6A11A372"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r>
      <w:tr w:rsidR="005E53BB" w:rsidRPr="008B39E1" w14:paraId="294C41EE" w14:textId="77777777" w:rsidTr="00702126">
        <w:trPr>
          <w:trHeight w:val="315"/>
        </w:trPr>
        <w:tc>
          <w:tcPr>
            <w:tcW w:w="1590" w:type="pct"/>
            <w:tcBorders>
              <w:top w:val="nil"/>
              <w:left w:val="nil"/>
              <w:bottom w:val="nil"/>
              <w:right w:val="nil"/>
            </w:tcBorders>
            <w:shd w:val="clear" w:color="auto" w:fill="auto"/>
            <w:noWrap/>
            <w:vAlign w:val="bottom"/>
            <w:hideMark/>
          </w:tcPr>
          <w:p w14:paraId="543B13C5" w14:textId="62CE12A3" w:rsidR="005E53BB" w:rsidRPr="008B39E1" w:rsidRDefault="005E53BB" w:rsidP="000F0F5A">
            <w:pPr>
              <w:spacing w:after="0" w:line="240" w:lineRule="auto"/>
              <w:rPr>
                <w:rFonts w:ascii="Times New Roman" w:eastAsia="Times New Roman" w:hAnsi="Times New Roman" w:cs="Times New Roman"/>
                <w:i/>
                <w:iCs/>
                <w:color w:val="000000"/>
                <w:sz w:val="20"/>
                <w:szCs w:val="20"/>
              </w:rPr>
            </w:pPr>
            <w:proofErr w:type="spellStart"/>
            <w:r w:rsidRPr="008B39E1">
              <w:rPr>
                <w:rFonts w:ascii="Times New Roman" w:hAnsi="Times New Roman" w:cs="Times New Roman"/>
                <w:i/>
                <w:iCs/>
                <w:color w:val="000000"/>
                <w:sz w:val="20"/>
                <w:szCs w:val="20"/>
              </w:rPr>
              <w:t>POSTxRELOCATExCHSCraw</w:t>
            </w:r>
            <w:proofErr w:type="spellEnd"/>
          </w:p>
        </w:tc>
        <w:tc>
          <w:tcPr>
            <w:tcW w:w="145" w:type="pct"/>
            <w:tcBorders>
              <w:top w:val="nil"/>
              <w:left w:val="nil"/>
              <w:bottom w:val="nil"/>
              <w:right w:val="nil"/>
            </w:tcBorders>
            <w:shd w:val="clear" w:color="auto" w:fill="auto"/>
            <w:noWrap/>
            <w:vAlign w:val="bottom"/>
            <w:hideMark/>
          </w:tcPr>
          <w:p w14:paraId="797259CF" w14:textId="77777777" w:rsidR="005E53BB" w:rsidRPr="008B39E1" w:rsidRDefault="005E53BB"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nil"/>
              <w:right w:val="nil"/>
            </w:tcBorders>
            <w:shd w:val="clear" w:color="auto" w:fill="auto"/>
            <w:noWrap/>
            <w:vAlign w:val="bottom"/>
            <w:hideMark/>
          </w:tcPr>
          <w:p w14:paraId="32EC53F5" w14:textId="77777777" w:rsidR="005E53BB" w:rsidRPr="008B39E1" w:rsidRDefault="005E53BB" w:rsidP="000F0F5A">
            <w:pPr>
              <w:spacing w:after="0" w:line="240" w:lineRule="auto"/>
              <w:jc w:val="center"/>
              <w:rPr>
                <w:rFonts w:ascii="Times New Roman" w:eastAsia="Times New Roman" w:hAnsi="Times New Roman" w:cs="Times New Roman"/>
                <w:b/>
                <w:bCs/>
                <w:color w:val="000000"/>
                <w:sz w:val="20"/>
                <w:szCs w:val="20"/>
              </w:rPr>
            </w:pPr>
          </w:p>
        </w:tc>
        <w:tc>
          <w:tcPr>
            <w:tcW w:w="544" w:type="pct"/>
            <w:tcBorders>
              <w:top w:val="nil"/>
              <w:left w:val="nil"/>
              <w:bottom w:val="nil"/>
              <w:right w:val="nil"/>
            </w:tcBorders>
            <w:vAlign w:val="bottom"/>
          </w:tcPr>
          <w:p w14:paraId="2F5DBE4A" w14:textId="0FC9ABE0"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0.027**</w:t>
            </w:r>
          </w:p>
        </w:tc>
        <w:tc>
          <w:tcPr>
            <w:tcW w:w="545" w:type="pct"/>
            <w:tcBorders>
              <w:top w:val="nil"/>
              <w:left w:val="nil"/>
              <w:bottom w:val="nil"/>
              <w:right w:val="nil"/>
            </w:tcBorders>
            <w:vAlign w:val="bottom"/>
          </w:tcPr>
          <w:p w14:paraId="3A59E005"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4F3F011"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D4D8442"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1D7A7C6"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r>
      <w:tr w:rsidR="005E53BB" w:rsidRPr="008B39E1" w14:paraId="2845860C" w14:textId="77777777" w:rsidTr="00702126">
        <w:trPr>
          <w:trHeight w:val="315"/>
        </w:trPr>
        <w:tc>
          <w:tcPr>
            <w:tcW w:w="1590" w:type="pct"/>
            <w:tcBorders>
              <w:top w:val="nil"/>
              <w:left w:val="nil"/>
              <w:bottom w:val="nil"/>
              <w:right w:val="nil"/>
            </w:tcBorders>
            <w:shd w:val="clear" w:color="auto" w:fill="auto"/>
            <w:noWrap/>
            <w:vAlign w:val="bottom"/>
            <w:hideMark/>
          </w:tcPr>
          <w:p w14:paraId="6D8A099F" w14:textId="77777777" w:rsidR="005E53BB" w:rsidRPr="008B39E1" w:rsidRDefault="005E53BB"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hideMark/>
          </w:tcPr>
          <w:p w14:paraId="63A00182"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hideMark/>
          </w:tcPr>
          <w:p w14:paraId="0C66D609" w14:textId="77777777" w:rsidR="005E53BB" w:rsidRPr="008B39E1" w:rsidRDefault="005E53BB" w:rsidP="000F0F5A">
            <w:pPr>
              <w:spacing w:after="0" w:line="240" w:lineRule="auto"/>
              <w:jc w:val="center"/>
              <w:rPr>
                <w:rFonts w:ascii="Times New Roman" w:eastAsia="Times New Roman" w:hAnsi="Times New Roman" w:cs="Times New Roman"/>
                <w:sz w:val="20"/>
                <w:szCs w:val="20"/>
              </w:rPr>
            </w:pPr>
          </w:p>
        </w:tc>
        <w:tc>
          <w:tcPr>
            <w:tcW w:w="544" w:type="pct"/>
            <w:tcBorders>
              <w:top w:val="nil"/>
              <w:left w:val="nil"/>
              <w:bottom w:val="nil"/>
              <w:right w:val="nil"/>
            </w:tcBorders>
            <w:vAlign w:val="bottom"/>
          </w:tcPr>
          <w:p w14:paraId="602DC9C5" w14:textId="36E3F148"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(2.050)</w:t>
            </w:r>
          </w:p>
        </w:tc>
        <w:tc>
          <w:tcPr>
            <w:tcW w:w="545" w:type="pct"/>
            <w:tcBorders>
              <w:top w:val="nil"/>
              <w:left w:val="nil"/>
              <w:bottom w:val="nil"/>
              <w:right w:val="nil"/>
            </w:tcBorders>
            <w:vAlign w:val="bottom"/>
          </w:tcPr>
          <w:p w14:paraId="57A274BD"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E655F43"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20456B1"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B7EBDD5"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r>
      <w:tr w:rsidR="005E53BB" w:rsidRPr="008B39E1" w14:paraId="01873C93" w14:textId="77777777" w:rsidTr="00702126">
        <w:trPr>
          <w:trHeight w:val="315"/>
        </w:trPr>
        <w:tc>
          <w:tcPr>
            <w:tcW w:w="1590" w:type="pct"/>
            <w:tcBorders>
              <w:top w:val="nil"/>
              <w:left w:val="nil"/>
              <w:bottom w:val="nil"/>
              <w:right w:val="nil"/>
            </w:tcBorders>
            <w:shd w:val="clear" w:color="auto" w:fill="auto"/>
            <w:noWrap/>
            <w:vAlign w:val="bottom"/>
          </w:tcPr>
          <w:p w14:paraId="0E3442E5" w14:textId="16ADE6F0" w:rsidR="005E53BB" w:rsidRPr="008B39E1" w:rsidRDefault="005E53BB"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POSTxRELOCATExCHNORMS</w:t>
            </w:r>
            <w:proofErr w:type="spellEnd"/>
          </w:p>
        </w:tc>
        <w:tc>
          <w:tcPr>
            <w:tcW w:w="145" w:type="pct"/>
            <w:tcBorders>
              <w:top w:val="nil"/>
              <w:left w:val="nil"/>
              <w:bottom w:val="nil"/>
              <w:right w:val="nil"/>
            </w:tcBorders>
            <w:shd w:val="clear" w:color="auto" w:fill="auto"/>
            <w:noWrap/>
            <w:vAlign w:val="bottom"/>
          </w:tcPr>
          <w:p w14:paraId="05F6F814"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6E97C32C"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F2759C2"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33AB3B2C" w14:textId="24F4C2EA"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0.040**</w:t>
            </w:r>
          </w:p>
        </w:tc>
        <w:tc>
          <w:tcPr>
            <w:tcW w:w="544" w:type="pct"/>
            <w:tcBorders>
              <w:top w:val="nil"/>
              <w:left w:val="nil"/>
              <w:bottom w:val="nil"/>
              <w:right w:val="nil"/>
            </w:tcBorders>
            <w:vAlign w:val="bottom"/>
          </w:tcPr>
          <w:p w14:paraId="4B09DCB4"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464B770"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6DE198E"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r>
      <w:tr w:rsidR="005E53BB" w:rsidRPr="008B39E1" w14:paraId="7718396B" w14:textId="77777777" w:rsidTr="00702126">
        <w:trPr>
          <w:trHeight w:val="315"/>
        </w:trPr>
        <w:tc>
          <w:tcPr>
            <w:tcW w:w="1590" w:type="pct"/>
            <w:tcBorders>
              <w:top w:val="nil"/>
              <w:left w:val="nil"/>
              <w:bottom w:val="nil"/>
              <w:right w:val="nil"/>
            </w:tcBorders>
            <w:shd w:val="clear" w:color="auto" w:fill="auto"/>
            <w:noWrap/>
            <w:vAlign w:val="bottom"/>
          </w:tcPr>
          <w:p w14:paraId="3C2B7AAA" w14:textId="77777777" w:rsidR="005E53BB" w:rsidRPr="008B39E1" w:rsidRDefault="005E53BB"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6B0DAC7D"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069F2FD3"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3FA613C"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5770FB62" w14:textId="0C8CB7F5"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(2.541)</w:t>
            </w:r>
          </w:p>
        </w:tc>
        <w:tc>
          <w:tcPr>
            <w:tcW w:w="544" w:type="pct"/>
            <w:tcBorders>
              <w:top w:val="nil"/>
              <w:left w:val="nil"/>
              <w:bottom w:val="nil"/>
              <w:right w:val="nil"/>
            </w:tcBorders>
            <w:vAlign w:val="bottom"/>
          </w:tcPr>
          <w:p w14:paraId="2468CE79"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3C5B2B3"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2656674"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r>
      <w:tr w:rsidR="005E53BB" w:rsidRPr="008B39E1" w14:paraId="1F556440" w14:textId="77777777" w:rsidTr="00702126">
        <w:trPr>
          <w:trHeight w:val="315"/>
        </w:trPr>
        <w:tc>
          <w:tcPr>
            <w:tcW w:w="1590" w:type="pct"/>
            <w:tcBorders>
              <w:top w:val="nil"/>
              <w:left w:val="nil"/>
              <w:bottom w:val="nil"/>
              <w:right w:val="nil"/>
            </w:tcBorders>
            <w:shd w:val="clear" w:color="auto" w:fill="auto"/>
            <w:noWrap/>
            <w:vAlign w:val="bottom"/>
          </w:tcPr>
          <w:p w14:paraId="775FB06F" w14:textId="288131FF" w:rsidR="005E53BB" w:rsidRPr="008B39E1" w:rsidRDefault="005E53BB"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POSTxRELOCATExNORMSraw</w:t>
            </w:r>
            <w:proofErr w:type="spellEnd"/>
          </w:p>
        </w:tc>
        <w:tc>
          <w:tcPr>
            <w:tcW w:w="145" w:type="pct"/>
            <w:tcBorders>
              <w:top w:val="nil"/>
              <w:left w:val="nil"/>
              <w:bottom w:val="nil"/>
              <w:right w:val="nil"/>
            </w:tcBorders>
            <w:shd w:val="clear" w:color="auto" w:fill="auto"/>
            <w:noWrap/>
            <w:vAlign w:val="bottom"/>
          </w:tcPr>
          <w:p w14:paraId="2D008830"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087568A4"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B3C0ED5"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6A11BE25"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5B87732" w14:textId="195126C1"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0.000*</w:t>
            </w:r>
          </w:p>
        </w:tc>
        <w:tc>
          <w:tcPr>
            <w:tcW w:w="544" w:type="pct"/>
            <w:tcBorders>
              <w:top w:val="nil"/>
              <w:left w:val="nil"/>
              <w:bottom w:val="nil"/>
              <w:right w:val="nil"/>
            </w:tcBorders>
            <w:vAlign w:val="bottom"/>
          </w:tcPr>
          <w:p w14:paraId="50C18644"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B48B506"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r>
      <w:tr w:rsidR="005E53BB" w:rsidRPr="008B39E1" w14:paraId="549FDBD7" w14:textId="77777777" w:rsidTr="00702126">
        <w:trPr>
          <w:trHeight w:val="315"/>
        </w:trPr>
        <w:tc>
          <w:tcPr>
            <w:tcW w:w="1590" w:type="pct"/>
            <w:tcBorders>
              <w:top w:val="nil"/>
              <w:left w:val="nil"/>
              <w:bottom w:val="nil"/>
              <w:right w:val="nil"/>
            </w:tcBorders>
            <w:shd w:val="clear" w:color="auto" w:fill="auto"/>
            <w:noWrap/>
            <w:vAlign w:val="bottom"/>
          </w:tcPr>
          <w:p w14:paraId="29F3A027" w14:textId="77777777" w:rsidR="005E53BB" w:rsidRPr="008B39E1" w:rsidRDefault="005E53BB"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0253B4CA"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604B5AD5"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5E89916"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0745CD91"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BEBEEB9" w14:textId="4BA97FA1"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(1.833)</w:t>
            </w:r>
          </w:p>
        </w:tc>
        <w:tc>
          <w:tcPr>
            <w:tcW w:w="544" w:type="pct"/>
            <w:tcBorders>
              <w:top w:val="nil"/>
              <w:left w:val="nil"/>
              <w:bottom w:val="nil"/>
              <w:right w:val="nil"/>
            </w:tcBorders>
            <w:vAlign w:val="bottom"/>
          </w:tcPr>
          <w:p w14:paraId="4531E7C7"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6959C74"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r>
      <w:tr w:rsidR="005E53BB" w:rsidRPr="008B39E1" w14:paraId="17E15439" w14:textId="77777777" w:rsidTr="00702126">
        <w:trPr>
          <w:trHeight w:val="315"/>
        </w:trPr>
        <w:tc>
          <w:tcPr>
            <w:tcW w:w="1590" w:type="pct"/>
            <w:tcBorders>
              <w:top w:val="nil"/>
              <w:left w:val="nil"/>
              <w:bottom w:val="nil"/>
              <w:right w:val="nil"/>
            </w:tcBorders>
            <w:shd w:val="clear" w:color="auto" w:fill="auto"/>
            <w:noWrap/>
            <w:vAlign w:val="bottom"/>
          </w:tcPr>
          <w:p w14:paraId="13C1AECF" w14:textId="7F67CEF0" w:rsidR="005E53BB" w:rsidRPr="008B39E1" w:rsidRDefault="005E53BB"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POSTxRELOCATExCHNETW</w:t>
            </w:r>
            <w:proofErr w:type="spellEnd"/>
          </w:p>
        </w:tc>
        <w:tc>
          <w:tcPr>
            <w:tcW w:w="145" w:type="pct"/>
            <w:tcBorders>
              <w:top w:val="nil"/>
              <w:left w:val="nil"/>
              <w:bottom w:val="nil"/>
              <w:right w:val="nil"/>
            </w:tcBorders>
            <w:shd w:val="clear" w:color="auto" w:fill="auto"/>
            <w:noWrap/>
            <w:vAlign w:val="bottom"/>
          </w:tcPr>
          <w:p w14:paraId="085BFDAA"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4C1F1AA7"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04E65D6"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3AA5B588"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23206BD"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4393C74" w14:textId="41172A34"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0.041**</w:t>
            </w:r>
          </w:p>
        </w:tc>
        <w:tc>
          <w:tcPr>
            <w:tcW w:w="544" w:type="pct"/>
            <w:tcBorders>
              <w:top w:val="nil"/>
              <w:left w:val="nil"/>
              <w:bottom w:val="nil"/>
              <w:right w:val="nil"/>
            </w:tcBorders>
            <w:vAlign w:val="bottom"/>
          </w:tcPr>
          <w:p w14:paraId="32D10609"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r>
      <w:tr w:rsidR="005E53BB" w:rsidRPr="008B39E1" w14:paraId="3CA06778" w14:textId="77777777" w:rsidTr="00702126">
        <w:trPr>
          <w:trHeight w:val="315"/>
        </w:trPr>
        <w:tc>
          <w:tcPr>
            <w:tcW w:w="1590" w:type="pct"/>
            <w:tcBorders>
              <w:top w:val="nil"/>
              <w:left w:val="nil"/>
              <w:bottom w:val="nil"/>
              <w:right w:val="nil"/>
            </w:tcBorders>
            <w:shd w:val="clear" w:color="auto" w:fill="auto"/>
            <w:noWrap/>
            <w:vAlign w:val="bottom"/>
          </w:tcPr>
          <w:p w14:paraId="3A68D717" w14:textId="77777777" w:rsidR="005E53BB" w:rsidRPr="008B39E1" w:rsidRDefault="005E53BB"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631052AA"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04401E46"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AD62717"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74A67804"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157296A"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7DC9A00" w14:textId="0E465932"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(2.542)</w:t>
            </w:r>
          </w:p>
        </w:tc>
        <w:tc>
          <w:tcPr>
            <w:tcW w:w="544" w:type="pct"/>
            <w:tcBorders>
              <w:top w:val="nil"/>
              <w:left w:val="nil"/>
              <w:bottom w:val="nil"/>
              <w:right w:val="nil"/>
            </w:tcBorders>
            <w:vAlign w:val="bottom"/>
          </w:tcPr>
          <w:p w14:paraId="650CF1AD"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r>
      <w:tr w:rsidR="005E53BB" w:rsidRPr="008B39E1" w14:paraId="7C674F46" w14:textId="77777777" w:rsidTr="00702126">
        <w:trPr>
          <w:trHeight w:val="315"/>
        </w:trPr>
        <w:tc>
          <w:tcPr>
            <w:tcW w:w="1590" w:type="pct"/>
            <w:tcBorders>
              <w:top w:val="nil"/>
              <w:left w:val="nil"/>
              <w:bottom w:val="nil"/>
              <w:right w:val="nil"/>
            </w:tcBorders>
            <w:shd w:val="clear" w:color="auto" w:fill="auto"/>
            <w:noWrap/>
            <w:vAlign w:val="bottom"/>
          </w:tcPr>
          <w:p w14:paraId="70AE3677" w14:textId="4C7ABC15" w:rsidR="005E53BB" w:rsidRPr="008B39E1" w:rsidRDefault="005E53BB"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POSTxRELOCATExNETWraw</w:t>
            </w:r>
            <w:proofErr w:type="spellEnd"/>
          </w:p>
        </w:tc>
        <w:tc>
          <w:tcPr>
            <w:tcW w:w="145" w:type="pct"/>
            <w:tcBorders>
              <w:top w:val="nil"/>
              <w:left w:val="nil"/>
              <w:bottom w:val="nil"/>
              <w:right w:val="nil"/>
            </w:tcBorders>
            <w:shd w:val="clear" w:color="auto" w:fill="auto"/>
            <w:noWrap/>
            <w:vAlign w:val="bottom"/>
          </w:tcPr>
          <w:p w14:paraId="666C6532"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677313A4"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4C56AAC"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649A1822"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69CAD6B"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3B585E9"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5DF23A6" w14:textId="7AD4E8B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0.002**</w:t>
            </w:r>
          </w:p>
        </w:tc>
      </w:tr>
      <w:tr w:rsidR="005E53BB" w:rsidRPr="008B39E1" w14:paraId="0176489A" w14:textId="77777777" w:rsidTr="00702126">
        <w:trPr>
          <w:trHeight w:val="315"/>
        </w:trPr>
        <w:tc>
          <w:tcPr>
            <w:tcW w:w="1590" w:type="pct"/>
            <w:tcBorders>
              <w:top w:val="nil"/>
              <w:left w:val="nil"/>
              <w:bottom w:val="nil"/>
              <w:right w:val="nil"/>
            </w:tcBorders>
            <w:shd w:val="clear" w:color="auto" w:fill="auto"/>
            <w:noWrap/>
            <w:vAlign w:val="bottom"/>
          </w:tcPr>
          <w:p w14:paraId="22592492" w14:textId="77777777" w:rsidR="005E53BB" w:rsidRPr="008B39E1" w:rsidRDefault="005E53BB"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50DCBD7E"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3F5E7D6A"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6FE21E7"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7E675EF3"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EB28DC8"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2F61517" w14:textId="77777777" w:rsidR="005E53BB" w:rsidRPr="008B39E1" w:rsidRDefault="005E53BB"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593C841" w14:textId="3047FB38"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(2.492)</w:t>
            </w:r>
          </w:p>
        </w:tc>
      </w:tr>
      <w:tr w:rsidR="005E53BB" w:rsidRPr="008B39E1" w14:paraId="4735D252" w14:textId="77777777" w:rsidTr="00702126">
        <w:trPr>
          <w:trHeight w:val="117"/>
        </w:trPr>
        <w:tc>
          <w:tcPr>
            <w:tcW w:w="1590" w:type="pct"/>
            <w:tcBorders>
              <w:top w:val="nil"/>
              <w:left w:val="nil"/>
              <w:bottom w:val="nil"/>
              <w:right w:val="nil"/>
            </w:tcBorders>
            <w:shd w:val="clear" w:color="auto" w:fill="auto"/>
            <w:noWrap/>
            <w:vAlign w:val="bottom"/>
          </w:tcPr>
          <w:p w14:paraId="31CBDE0A" w14:textId="1B8E44E0" w:rsidR="005E53BB" w:rsidRPr="008B39E1" w:rsidRDefault="005E53BB"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POSTxRELOCATExNO_CHSC</w:t>
            </w:r>
            <w:proofErr w:type="spellEnd"/>
          </w:p>
        </w:tc>
        <w:tc>
          <w:tcPr>
            <w:tcW w:w="145" w:type="pct"/>
            <w:tcBorders>
              <w:top w:val="nil"/>
              <w:left w:val="nil"/>
              <w:bottom w:val="nil"/>
              <w:right w:val="nil"/>
            </w:tcBorders>
            <w:shd w:val="clear" w:color="auto" w:fill="auto"/>
            <w:noWrap/>
            <w:vAlign w:val="bottom"/>
          </w:tcPr>
          <w:p w14:paraId="7511F1E8"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4C7A598A" w14:textId="6B201240"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0.037**</w:t>
            </w:r>
          </w:p>
        </w:tc>
        <w:tc>
          <w:tcPr>
            <w:tcW w:w="544" w:type="pct"/>
            <w:tcBorders>
              <w:top w:val="nil"/>
              <w:left w:val="nil"/>
              <w:bottom w:val="nil"/>
              <w:right w:val="nil"/>
            </w:tcBorders>
            <w:vAlign w:val="bottom"/>
          </w:tcPr>
          <w:p w14:paraId="0CC9D5EF" w14:textId="04B68AFF"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0.030**</w:t>
            </w:r>
          </w:p>
        </w:tc>
        <w:tc>
          <w:tcPr>
            <w:tcW w:w="545" w:type="pct"/>
            <w:tcBorders>
              <w:top w:val="nil"/>
              <w:left w:val="nil"/>
              <w:bottom w:val="nil"/>
              <w:right w:val="nil"/>
            </w:tcBorders>
            <w:vAlign w:val="bottom"/>
          </w:tcPr>
          <w:p w14:paraId="3620DA49" w14:textId="79639BFD"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0.036**</w:t>
            </w:r>
          </w:p>
        </w:tc>
        <w:tc>
          <w:tcPr>
            <w:tcW w:w="544" w:type="pct"/>
            <w:tcBorders>
              <w:top w:val="nil"/>
              <w:left w:val="nil"/>
              <w:bottom w:val="nil"/>
              <w:right w:val="nil"/>
            </w:tcBorders>
            <w:vAlign w:val="bottom"/>
          </w:tcPr>
          <w:p w14:paraId="2562FFA8" w14:textId="0612E030"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0.030**</w:t>
            </w:r>
          </w:p>
        </w:tc>
        <w:tc>
          <w:tcPr>
            <w:tcW w:w="544" w:type="pct"/>
            <w:tcBorders>
              <w:top w:val="nil"/>
              <w:left w:val="nil"/>
              <w:bottom w:val="nil"/>
              <w:right w:val="nil"/>
            </w:tcBorders>
            <w:vAlign w:val="bottom"/>
          </w:tcPr>
          <w:p w14:paraId="61F6A167" w14:textId="3BA6FD55"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0.036**</w:t>
            </w:r>
          </w:p>
        </w:tc>
        <w:tc>
          <w:tcPr>
            <w:tcW w:w="544" w:type="pct"/>
            <w:tcBorders>
              <w:top w:val="nil"/>
              <w:left w:val="nil"/>
              <w:bottom w:val="nil"/>
              <w:right w:val="nil"/>
            </w:tcBorders>
            <w:vAlign w:val="bottom"/>
          </w:tcPr>
          <w:p w14:paraId="4D9AD04C" w14:textId="213BCBEA"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0.034**</w:t>
            </w:r>
          </w:p>
        </w:tc>
      </w:tr>
      <w:tr w:rsidR="005E53BB" w:rsidRPr="008B39E1" w14:paraId="43EF9BF2" w14:textId="77777777" w:rsidTr="00702126">
        <w:trPr>
          <w:trHeight w:val="117"/>
        </w:trPr>
        <w:tc>
          <w:tcPr>
            <w:tcW w:w="1590" w:type="pct"/>
            <w:tcBorders>
              <w:top w:val="nil"/>
              <w:left w:val="nil"/>
              <w:bottom w:val="nil"/>
              <w:right w:val="nil"/>
            </w:tcBorders>
            <w:shd w:val="clear" w:color="auto" w:fill="auto"/>
            <w:noWrap/>
            <w:vAlign w:val="bottom"/>
          </w:tcPr>
          <w:p w14:paraId="76D25E0A" w14:textId="77777777" w:rsidR="005E53BB" w:rsidRPr="008B39E1" w:rsidRDefault="005E53BB" w:rsidP="000F0F5A">
            <w:pPr>
              <w:spacing w:after="0" w:line="240" w:lineRule="auto"/>
              <w:rPr>
                <w:rFonts w:ascii="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tcPr>
          <w:p w14:paraId="7F6EA60E"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52E5742D" w14:textId="4811D34D"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(2.521)</w:t>
            </w:r>
          </w:p>
        </w:tc>
        <w:tc>
          <w:tcPr>
            <w:tcW w:w="544" w:type="pct"/>
            <w:tcBorders>
              <w:top w:val="nil"/>
              <w:left w:val="nil"/>
              <w:bottom w:val="nil"/>
              <w:right w:val="nil"/>
            </w:tcBorders>
            <w:vAlign w:val="bottom"/>
          </w:tcPr>
          <w:p w14:paraId="47A6BD63" w14:textId="3C156F88"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(2.067)</w:t>
            </w:r>
          </w:p>
        </w:tc>
        <w:tc>
          <w:tcPr>
            <w:tcW w:w="545" w:type="pct"/>
            <w:tcBorders>
              <w:top w:val="nil"/>
              <w:left w:val="nil"/>
              <w:bottom w:val="nil"/>
              <w:right w:val="nil"/>
            </w:tcBorders>
            <w:vAlign w:val="bottom"/>
          </w:tcPr>
          <w:p w14:paraId="62BC4D0A" w14:textId="32F4781D"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(2.481)</w:t>
            </w:r>
          </w:p>
        </w:tc>
        <w:tc>
          <w:tcPr>
            <w:tcW w:w="544" w:type="pct"/>
            <w:tcBorders>
              <w:top w:val="nil"/>
              <w:left w:val="nil"/>
              <w:bottom w:val="nil"/>
              <w:right w:val="nil"/>
            </w:tcBorders>
            <w:vAlign w:val="bottom"/>
          </w:tcPr>
          <w:p w14:paraId="6CE45CCF" w14:textId="0575C95C"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(2.060)</w:t>
            </w:r>
          </w:p>
        </w:tc>
        <w:tc>
          <w:tcPr>
            <w:tcW w:w="544" w:type="pct"/>
            <w:tcBorders>
              <w:top w:val="nil"/>
              <w:left w:val="nil"/>
              <w:bottom w:val="nil"/>
              <w:right w:val="nil"/>
            </w:tcBorders>
            <w:vAlign w:val="bottom"/>
          </w:tcPr>
          <w:p w14:paraId="0FC96BC9" w14:textId="18442429"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(2.456)</w:t>
            </w:r>
          </w:p>
        </w:tc>
        <w:tc>
          <w:tcPr>
            <w:tcW w:w="544" w:type="pct"/>
            <w:tcBorders>
              <w:top w:val="nil"/>
              <w:left w:val="nil"/>
              <w:bottom w:val="nil"/>
              <w:right w:val="nil"/>
            </w:tcBorders>
            <w:vAlign w:val="bottom"/>
          </w:tcPr>
          <w:p w14:paraId="3D38B7CA" w14:textId="76A47855"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(2.312)</w:t>
            </w:r>
          </w:p>
        </w:tc>
      </w:tr>
      <w:tr w:rsidR="005E53BB" w:rsidRPr="008B39E1" w14:paraId="5FE2882E" w14:textId="77777777" w:rsidTr="00702126">
        <w:trPr>
          <w:trHeight w:val="117"/>
        </w:trPr>
        <w:tc>
          <w:tcPr>
            <w:tcW w:w="1590" w:type="pct"/>
            <w:tcBorders>
              <w:top w:val="nil"/>
              <w:left w:val="nil"/>
              <w:bottom w:val="nil"/>
              <w:right w:val="nil"/>
            </w:tcBorders>
            <w:shd w:val="clear" w:color="auto" w:fill="auto"/>
            <w:noWrap/>
            <w:vAlign w:val="bottom"/>
          </w:tcPr>
          <w:p w14:paraId="5A3E6B67" w14:textId="77777777" w:rsidR="005E53BB" w:rsidRPr="008B39E1" w:rsidRDefault="005E53BB" w:rsidP="000F0F5A">
            <w:pPr>
              <w:spacing w:after="0" w:line="240" w:lineRule="auto"/>
              <w:rPr>
                <w:rFonts w:ascii="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tcPr>
          <w:p w14:paraId="27AB3C1D"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6F2DFB60"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52117FB8"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tcPr>
          <w:p w14:paraId="045D9AC7"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16076B1C"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35A4C818"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0D9D2008"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p>
        </w:tc>
      </w:tr>
      <w:tr w:rsidR="005E53BB" w:rsidRPr="008B39E1" w14:paraId="2C1BB7D4" w14:textId="77777777" w:rsidTr="00702126">
        <w:trPr>
          <w:trHeight w:val="315"/>
        </w:trPr>
        <w:tc>
          <w:tcPr>
            <w:tcW w:w="1590" w:type="pct"/>
            <w:tcBorders>
              <w:top w:val="nil"/>
              <w:left w:val="nil"/>
              <w:bottom w:val="nil"/>
              <w:right w:val="nil"/>
            </w:tcBorders>
            <w:shd w:val="clear" w:color="auto" w:fill="auto"/>
            <w:noWrap/>
            <w:vAlign w:val="bottom"/>
          </w:tcPr>
          <w:p w14:paraId="108F2C2C" w14:textId="77777777" w:rsidR="005E53BB" w:rsidRPr="008B39E1" w:rsidRDefault="005E53BB"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Controls</w:t>
            </w:r>
          </w:p>
        </w:tc>
        <w:tc>
          <w:tcPr>
            <w:tcW w:w="145" w:type="pct"/>
            <w:tcBorders>
              <w:top w:val="nil"/>
              <w:left w:val="nil"/>
              <w:bottom w:val="nil"/>
              <w:right w:val="nil"/>
            </w:tcBorders>
            <w:shd w:val="clear" w:color="auto" w:fill="auto"/>
            <w:noWrap/>
            <w:vAlign w:val="bottom"/>
          </w:tcPr>
          <w:p w14:paraId="5F9E5732"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5883F061"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58A9A38F" w14:textId="7777777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5" w:type="pct"/>
            <w:tcBorders>
              <w:top w:val="nil"/>
              <w:left w:val="nil"/>
              <w:bottom w:val="nil"/>
              <w:right w:val="nil"/>
            </w:tcBorders>
            <w:vAlign w:val="center"/>
          </w:tcPr>
          <w:p w14:paraId="7EF49B7B" w14:textId="7777777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08FDCB87" w14:textId="7777777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0B75A7AE" w14:textId="7777777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3BAE6314" w14:textId="7777777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r>
      <w:tr w:rsidR="005E53BB" w:rsidRPr="008B39E1" w14:paraId="617D2FE6" w14:textId="77777777" w:rsidTr="00702126">
        <w:trPr>
          <w:trHeight w:val="315"/>
        </w:trPr>
        <w:tc>
          <w:tcPr>
            <w:tcW w:w="1590" w:type="pct"/>
            <w:tcBorders>
              <w:top w:val="nil"/>
              <w:left w:val="nil"/>
              <w:bottom w:val="nil"/>
              <w:right w:val="nil"/>
            </w:tcBorders>
            <w:shd w:val="clear" w:color="auto" w:fill="auto"/>
            <w:noWrap/>
            <w:vAlign w:val="bottom"/>
          </w:tcPr>
          <w:p w14:paraId="3E681762" w14:textId="77777777" w:rsidR="005E53BB" w:rsidRPr="008B39E1" w:rsidRDefault="005E53BB"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Fixed Effects</w:t>
            </w:r>
          </w:p>
        </w:tc>
        <w:tc>
          <w:tcPr>
            <w:tcW w:w="145" w:type="pct"/>
            <w:tcBorders>
              <w:top w:val="nil"/>
              <w:left w:val="nil"/>
              <w:bottom w:val="nil"/>
              <w:right w:val="nil"/>
            </w:tcBorders>
            <w:shd w:val="clear" w:color="auto" w:fill="auto"/>
            <w:noWrap/>
            <w:vAlign w:val="bottom"/>
          </w:tcPr>
          <w:p w14:paraId="3A55DC80"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0AF8E26F"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09137E31"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5" w:type="pct"/>
            <w:tcBorders>
              <w:top w:val="nil"/>
              <w:left w:val="nil"/>
              <w:bottom w:val="nil"/>
              <w:right w:val="nil"/>
            </w:tcBorders>
            <w:vAlign w:val="center"/>
          </w:tcPr>
          <w:p w14:paraId="4BDCC450"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6F6418D6"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6E19B988"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6BEF96E8" w14:textId="77777777" w:rsidR="005E53BB" w:rsidRPr="008B39E1" w:rsidRDefault="005E53BB"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r>
      <w:tr w:rsidR="005E53BB" w:rsidRPr="008B39E1" w14:paraId="57843B1E" w14:textId="77777777" w:rsidTr="00702126">
        <w:trPr>
          <w:trHeight w:val="315"/>
        </w:trPr>
        <w:tc>
          <w:tcPr>
            <w:tcW w:w="1590" w:type="pct"/>
            <w:tcBorders>
              <w:top w:val="nil"/>
              <w:left w:val="nil"/>
              <w:bottom w:val="nil"/>
              <w:right w:val="nil"/>
            </w:tcBorders>
            <w:shd w:val="clear" w:color="auto" w:fill="auto"/>
            <w:noWrap/>
            <w:vAlign w:val="bottom"/>
          </w:tcPr>
          <w:p w14:paraId="1AA380DE" w14:textId="77777777" w:rsidR="005E53BB" w:rsidRPr="008B39E1" w:rsidRDefault="005E53BB"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Clustered SE</w:t>
            </w:r>
          </w:p>
        </w:tc>
        <w:tc>
          <w:tcPr>
            <w:tcW w:w="145" w:type="pct"/>
            <w:tcBorders>
              <w:top w:val="nil"/>
              <w:left w:val="nil"/>
              <w:bottom w:val="nil"/>
              <w:right w:val="nil"/>
            </w:tcBorders>
            <w:shd w:val="clear" w:color="auto" w:fill="auto"/>
            <w:noWrap/>
            <w:vAlign w:val="bottom"/>
          </w:tcPr>
          <w:p w14:paraId="0D939739"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721D1FA0" w14:textId="77777777"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6253269F" w14:textId="7777777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5" w:type="pct"/>
            <w:tcBorders>
              <w:top w:val="nil"/>
              <w:left w:val="nil"/>
              <w:bottom w:val="nil"/>
              <w:right w:val="nil"/>
            </w:tcBorders>
            <w:vAlign w:val="center"/>
          </w:tcPr>
          <w:p w14:paraId="2AFD9860" w14:textId="7777777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5DCB62F4" w14:textId="7777777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5EA020CD" w14:textId="7777777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40174378" w14:textId="77777777"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r>
      <w:tr w:rsidR="005E53BB" w:rsidRPr="008B39E1" w14:paraId="336CC554" w14:textId="77777777" w:rsidTr="00702126">
        <w:trPr>
          <w:trHeight w:val="315"/>
        </w:trPr>
        <w:tc>
          <w:tcPr>
            <w:tcW w:w="1590" w:type="pct"/>
            <w:tcBorders>
              <w:top w:val="nil"/>
              <w:left w:val="nil"/>
              <w:bottom w:val="nil"/>
              <w:right w:val="nil"/>
            </w:tcBorders>
            <w:shd w:val="clear" w:color="auto" w:fill="auto"/>
            <w:noWrap/>
            <w:vAlign w:val="bottom"/>
          </w:tcPr>
          <w:p w14:paraId="06DCD6A7" w14:textId="77777777" w:rsidR="005E53BB" w:rsidRPr="008B39E1" w:rsidRDefault="005E53BB" w:rsidP="000F0F5A">
            <w:pPr>
              <w:spacing w:after="0" w:line="240" w:lineRule="auto"/>
              <w:rPr>
                <w:rFonts w:ascii="Times New Roman" w:hAnsi="Times New Roman" w:cs="Times New Roman"/>
                <w:color w:val="000000"/>
                <w:sz w:val="20"/>
                <w:szCs w:val="20"/>
              </w:rPr>
            </w:pPr>
            <w:r w:rsidRPr="008B39E1">
              <w:rPr>
                <w:rFonts w:ascii="Times New Roman" w:hAnsi="Times New Roman" w:cs="Times New Roman"/>
                <w:color w:val="000000"/>
                <w:sz w:val="20"/>
                <w:szCs w:val="20"/>
              </w:rPr>
              <w:t>F-test</w:t>
            </w:r>
          </w:p>
        </w:tc>
        <w:tc>
          <w:tcPr>
            <w:tcW w:w="145" w:type="pct"/>
            <w:tcBorders>
              <w:top w:val="nil"/>
              <w:left w:val="nil"/>
              <w:bottom w:val="nil"/>
              <w:right w:val="nil"/>
            </w:tcBorders>
            <w:shd w:val="clear" w:color="auto" w:fill="auto"/>
            <w:noWrap/>
            <w:vAlign w:val="bottom"/>
          </w:tcPr>
          <w:p w14:paraId="61237598"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8633983" w14:textId="7F10291A"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0.06</w:t>
            </w:r>
          </w:p>
        </w:tc>
        <w:tc>
          <w:tcPr>
            <w:tcW w:w="544" w:type="pct"/>
            <w:tcBorders>
              <w:top w:val="nil"/>
              <w:left w:val="nil"/>
              <w:bottom w:val="nil"/>
              <w:right w:val="nil"/>
            </w:tcBorders>
            <w:vAlign w:val="bottom"/>
          </w:tcPr>
          <w:p w14:paraId="01A222A5" w14:textId="399586FD"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c>
          <w:tcPr>
            <w:tcW w:w="545" w:type="pct"/>
            <w:tcBorders>
              <w:top w:val="nil"/>
              <w:left w:val="nil"/>
              <w:bottom w:val="nil"/>
              <w:right w:val="nil"/>
            </w:tcBorders>
            <w:vAlign w:val="bottom"/>
          </w:tcPr>
          <w:p w14:paraId="4417D56E" w14:textId="189BD30A"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0.04</w:t>
            </w:r>
          </w:p>
        </w:tc>
        <w:tc>
          <w:tcPr>
            <w:tcW w:w="544" w:type="pct"/>
            <w:tcBorders>
              <w:top w:val="nil"/>
              <w:left w:val="nil"/>
              <w:bottom w:val="nil"/>
              <w:right w:val="nil"/>
            </w:tcBorders>
            <w:vAlign w:val="bottom"/>
          </w:tcPr>
          <w:p w14:paraId="6163AD5C" w14:textId="55A60D70"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c>
          <w:tcPr>
            <w:tcW w:w="544" w:type="pct"/>
            <w:tcBorders>
              <w:top w:val="nil"/>
              <w:left w:val="nil"/>
              <w:bottom w:val="nil"/>
              <w:right w:val="nil"/>
            </w:tcBorders>
            <w:vAlign w:val="bottom"/>
          </w:tcPr>
          <w:p w14:paraId="47FE83E7" w14:textId="64F2BB53"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0.07</w:t>
            </w:r>
          </w:p>
        </w:tc>
        <w:tc>
          <w:tcPr>
            <w:tcW w:w="544" w:type="pct"/>
            <w:tcBorders>
              <w:top w:val="nil"/>
              <w:left w:val="nil"/>
              <w:bottom w:val="nil"/>
              <w:right w:val="nil"/>
            </w:tcBorders>
            <w:vAlign w:val="bottom"/>
          </w:tcPr>
          <w:p w14:paraId="0A171AD3" w14:textId="33B06DD9"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r>
      <w:tr w:rsidR="005E53BB" w:rsidRPr="008B39E1" w14:paraId="683FD283" w14:textId="77777777" w:rsidTr="00702126">
        <w:trPr>
          <w:trHeight w:val="315"/>
        </w:trPr>
        <w:tc>
          <w:tcPr>
            <w:tcW w:w="1590" w:type="pct"/>
            <w:tcBorders>
              <w:top w:val="nil"/>
              <w:left w:val="nil"/>
              <w:right w:val="nil"/>
            </w:tcBorders>
            <w:shd w:val="clear" w:color="auto" w:fill="auto"/>
            <w:noWrap/>
            <w:vAlign w:val="bottom"/>
          </w:tcPr>
          <w:p w14:paraId="6EDAF597" w14:textId="77777777" w:rsidR="005E53BB" w:rsidRPr="008B39E1" w:rsidRDefault="005E53BB"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N</w:t>
            </w:r>
          </w:p>
        </w:tc>
        <w:tc>
          <w:tcPr>
            <w:tcW w:w="145" w:type="pct"/>
            <w:tcBorders>
              <w:top w:val="nil"/>
              <w:left w:val="nil"/>
              <w:right w:val="nil"/>
            </w:tcBorders>
            <w:shd w:val="clear" w:color="auto" w:fill="auto"/>
            <w:noWrap/>
            <w:vAlign w:val="bottom"/>
          </w:tcPr>
          <w:p w14:paraId="610C8608"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right w:val="nil"/>
            </w:tcBorders>
            <w:shd w:val="clear" w:color="auto" w:fill="auto"/>
            <w:noWrap/>
            <w:vAlign w:val="bottom"/>
          </w:tcPr>
          <w:p w14:paraId="387EDB91" w14:textId="2C948BCF"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075</w:t>
            </w:r>
          </w:p>
        </w:tc>
        <w:tc>
          <w:tcPr>
            <w:tcW w:w="544" w:type="pct"/>
            <w:tcBorders>
              <w:top w:val="nil"/>
              <w:left w:val="nil"/>
              <w:right w:val="nil"/>
            </w:tcBorders>
            <w:vAlign w:val="bottom"/>
          </w:tcPr>
          <w:p w14:paraId="75BA0A69" w14:textId="1E883CA8"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075</w:t>
            </w:r>
          </w:p>
        </w:tc>
        <w:tc>
          <w:tcPr>
            <w:tcW w:w="545" w:type="pct"/>
            <w:tcBorders>
              <w:top w:val="nil"/>
              <w:left w:val="nil"/>
              <w:right w:val="nil"/>
            </w:tcBorders>
            <w:vAlign w:val="bottom"/>
          </w:tcPr>
          <w:p w14:paraId="7D2E5BF2" w14:textId="7847E6F2"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075</w:t>
            </w:r>
          </w:p>
        </w:tc>
        <w:tc>
          <w:tcPr>
            <w:tcW w:w="544" w:type="pct"/>
            <w:tcBorders>
              <w:top w:val="nil"/>
              <w:left w:val="nil"/>
              <w:right w:val="nil"/>
            </w:tcBorders>
            <w:vAlign w:val="bottom"/>
          </w:tcPr>
          <w:p w14:paraId="768A5237" w14:textId="570A221C"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075</w:t>
            </w:r>
          </w:p>
        </w:tc>
        <w:tc>
          <w:tcPr>
            <w:tcW w:w="544" w:type="pct"/>
            <w:tcBorders>
              <w:top w:val="nil"/>
              <w:left w:val="nil"/>
              <w:right w:val="nil"/>
            </w:tcBorders>
            <w:vAlign w:val="bottom"/>
          </w:tcPr>
          <w:p w14:paraId="3380F933" w14:textId="54C7E458"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075</w:t>
            </w:r>
          </w:p>
        </w:tc>
        <w:tc>
          <w:tcPr>
            <w:tcW w:w="544" w:type="pct"/>
            <w:tcBorders>
              <w:top w:val="nil"/>
              <w:left w:val="nil"/>
              <w:right w:val="nil"/>
            </w:tcBorders>
            <w:vAlign w:val="bottom"/>
          </w:tcPr>
          <w:p w14:paraId="75E4DEAF" w14:textId="1350978E"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075</w:t>
            </w:r>
          </w:p>
        </w:tc>
      </w:tr>
      <w:tr w:rsidR="005E53BB" w:rsidRPr="008B39E1" w14:paraId="684B0681" w14:textId="77777777" w:rsidTr="00702126">
        <w:trPr>
          <w:trHeight w:val="315"/>
        </w:trPr>
        <w:tc>
          <w:tcPr>
            <w:tcW w:w="1590" w:type="pct"/>
            <w:tcBorders>
              <w:top w:val="nil"/>
              <w:left w:val="nil"/>
              <w:bottom w:val="single" w:sz="4" w:space="0" w:color="auto"/>
              <w:right w:val="nil"/>
            </w:tcBorders>
            <w:shd w:val="clear" w:color="auto" w:fill="auto"/>
            <w:noWrap/>
            <w:vAlign w:val="bottom"/>
          </w:tcPr>
          <w:p w14:paraId="737BDE01" w14:textId="77777777" w:rsidR="005E53BB" w:rsidRPr="008B39E1" w:rsidRDefault="005E53BB"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Adj-</w:t>
            </w:r>
            <w:r w:rsidRPr="008B39E1">
              <w:rPr>
                <w:rFonts w:ascii="Times New Roman" w:eastAsia="Times New Roman" w:hAnsi="Times New Roman" w:cs="Times New Roman"/>
                <w:color w:val="000000"/>
                <w:sz w:val="20"/>
                <w:szCs w:val="20"/>
              </w:rPr>
              <w:t xml:space="preserve"> R</w:t>
            </w:r>
            <w:r w:rsidRPr="008B39E1">
              <w:rPr>
                <w:rFonts w:ascii="Times New Roman" w:eastAsia="Times New Roman" w:hAnsi="Times New Roman" w:cs="Times New Roman"/>
                <w:color w:val="000000"/>
                <w:sz w:val="20"/>
                <w:szCs w:val="20"/>
                <w:vertAlign w:val="superscript"/>
              </w:rPr>
              <w:t>2</w:t>
            </w:r>
          </w:p>
        </w:tc>
        <w:tc>
          <w:tcPr>
            <w:tcW w:w="145" w:type="pct"/>
            <w:tcBorders>
              <w:top w:val="nil"/>
              <w:left w:val="nil"/>
              <w:bottom w:val="single" w:sz="4" w:space="0" w:color="auto"/>
              <w:right w:val="nil"/>
            </w:tcBorders>
            <w:shd w:val="clear" w:color="auto" w:fill="auto"/>
            <w:noWrap/>
            <w:vAlign w:val="bottom"/>
          </w:tcPr>
          <w:p w14:paraId="7200B436" w14:textId="77777777" w:rsidR="005E53BB" w:rsidRPr="008B39E1" w:rsidRDefault="005E53BB"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single" w:sz="4" w:space="0" w:color="auto"/>
              <w:right w:val="nil"/>
            </w:tcBorders>
            <w:shd w:val="clear" w:color="auto" w:fill="auto"/>
            <w:noWrap/>
            <w:vAlign w:val="bottom"/>
          </w:tcPr>
          <w:p w14:paraId="200E7288" w14:textId="5C8255FF" w:rsidR="005E53BB" w:rsidRPr="008B39E1" w:rsidRDefault="005E53BB"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0.063</w:t>
            </w:r>
          </w:p>
        </w:tc>
        <w:tc>
          <w:tcPr>
            <w:tcW w:w="544" w:type="pct"/>
            <w:tcBorders>
              <w:top w:val="nil"/>
              <w:left w:val="nil"/>
              <w:bottom w:val="single" w:sz="4" w:space="0" w:color="auto"/>
              <w:right w:val="nil"/>
            </w:tcBorders>
            <w:vAlign w:val="bottom"/>
          </w:tcPr>
          <w:p w14:paraId="654C8912" w14:textId="5AA27EA4"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0.062</w:t>
            </w:r>
          </w:p>
        </w:tc>
        <w:tc>
          <w:tcPr>
            <w:tcW w:w="545" w:type="pct"/>
            <w:tcBorders>
              <w:top w:val="nil"/>
              <w:left w:val="nil"/>
              <w:bottom w:val="single" w:sz="4" w:space="0" w:color="auto"/>
              <w:right w:val="nil"/>
            </w:tcBorders>
            <w:vAlign w:val="bottom"/>
          </w:tcPr>
          <w:p w14:paraId="4433642F" w14:textId="2B36023F"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0.062</w:t>
            </w:r>
          </w:p>
        </w:tc>
        <w:tc>
          <w:tcPr>
            <w:tcW w:w="544" w:type="pct"/>
            <w:tcBorders>
              <w:top w:val="nil"/>
              <w:left w:val="nil"/>
              <w:bottom w:val="single" w:sz="4" w:space="0" w:color="auto"/>
              <w:right w:val="nil"/>
            </w:tcBorders>
            <w:vAlign w:val="bottom"/>
          </w:tcPr>
          <w:p w14:paraId="02974774" w14:textId="0C13A5C3"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0.061</w:t>
            </w:r>
          </w:p>
        </w:tc>
        <w:tc>
          <w:tcPr>
            <w:tcW w:w="544" w:type="pct"/>
            <w:tcBorders>
              <w:top w:val="nil"/>
              <w:left w:val="nil"/>
              <w:bottom w:val="single" w:sz="4" w:space="0" w:color="auto"/>
              <w:right w:val="nil"/>
            </w:tcBorders>
            <w:vAlign w:val="bottom"/>
          </w:tcPr>
          <w:p w14:paraId="009CE198" w14:textId="4C00626C"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0.062</w:t>
            </w:r>
          </w:p>
        </w:tc>
        <w:tc>
          <w:tcPr>
            <w:tcW w:w="544" w:type="pct"/>
            <w:tcBorders>
              <w:top w:val="nil"/>
              <w:left w:val="nil"/>
              <w:bottom w:val="single" w:sz="4" w:space="0" w:color="auto"/>
              <w:right w:val="nil"/>
            </w:tcBorders>
            <w:vAlign w:val="bottom"/>
          </w:tcPr>
          <w:p w14:paraId="1D873D65" w14:textId="5698E193" w:rsidR="005E53BB" w:rsidRPr="008B39E1" w:rsidRDefault="005E53BB"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0.064</w:t>
            </w:r>
          </w:p>
        </w:tc>
      </w:tr>
    </w:tbl>
    <w:p w14:paraId="48CF193B" w14:textId="77777777" w:rsidR="00631297" w:rsidRPr="008B39E1" w:rsidRDefault="00631297" w:rsidP="000F0F5A">
      <w:pPr>
        <w:spacing w:after="0" w:line="240" w:lineRule="auto"/>
        <w:jc w:val="center"/>
        <w:rPr>
          <w:rFonts w:ascii="Times New Roman" w:hAnsi="Times New Roman" w:cs="Times New Roman"/>
          <w:b/>
          <w:bCs/>
          <w:sz w:val="24"/>
          <w:szCs w:val="24"/>
        </w:rPr>
      </w:pPr>
    </w:p>
    <w:p w14:paraId="64399B7A" w14:textId="6B75DA63" w:rsidR="00631297" w:rsidRPr="008B39E1" w:rsidRDefault="00FC3E8B" w:rsidP="000F0F5A">
      <w:pPr>
        <w:spacing w:after="0" w:line="240" w:lineRule="auto"/>
        <w:rPr>
          <w:rFonts w:ascii="Times New Roman" w:hAnsi="Times New Roman" w:cs="Times New Roman"/>
          <w:b/>
          <w:bCs/>
          <w:sz w:val="24"/>
          <w:szCs w:val="24"/>
        </w:rPr>
      </w:pPr>
      <w:r w:rsidRPr="008B39E1">
        <w:rPr>
          <w:rFonts w:ascii="Times New Roman" w:eastAsia="Times New Roman" w:hAnsi="Times New Roman" w:cs="Times New Roman"/>
          <w:color w:val="000000"/>
          <w:sz w:val="20"/>
          <w:szCs w:val="20"/>
        </w:rPr>
        <w:t>***, **, and * indicate significance at the 0.01, 0.05, and 0.10 levels, respectively, using two-tailed tests. Robust standard errors are clustered at the unique firm level. We present t-</w:t>
      </w:r>
      <w:proofErr w:type="gramStart"/>
      <w:r w:rsidRPr="008B39E1">
        <w:rPr>
          <w:rFonts w:ascii="Times New Roman" w:eastAsia="Times New Roman" w:hAnsi="Times New Roman" w:cs="Times New Roman"/>
          <w:color w:val="000000"/>
          <w:sz w:val="20"/>
          <w:szCs w:val="20"/>
        </w:rPr>
        <w:t>statistic</w:t>
      </w:r>
      <w:proofErr w:type="gramEnd"/>
      <w:r w:rsidRPr="008B39E1">
        <w:rPr>
          <w:rFonts w:ascii="Times New Roman" w:eastAsia="Times New Roman" w:hAnsi="Times New Roman" w:cs="Times New Roman"/>
          <w:color w:val="000000"/>
          <w:sz w:val="20"/>
          <w:szCs w:val="20"/>
        </w:rPr>
        <w:t xml:space="preserve"> in parentheses for each variable. See Appendix A for variable definitions.</w:t>
      </w:r>
      <w:r w:rsidR="002A5531">
        <w:rPr>
          <w:rFonts w:ascii="Times New Roman" w:eastAsia="Times New Roman" w:hAnsi="Times New Roman" w:cs="Times New Roman"/>
          <w:color w:val="000000"/>
          <w:sz w:val="20"/>
          <w:szCs w:val="20"/>
        </w:rPr>
        <w:t xml:space="preserve"> Source: Authors own work. </w:t>
      </w:r>
      <w:r w:rsidR="00631297" w:rsidRPr="008B39E1">
        <w:rPr>
          <w:rFonts w:ascii="Times New Roman" w:hAnsi="Times New Roman" w:cs="Times New Roman"/>
          <w:b/>
          <w:bCs/>
          <w:sz w:val="24"/>
          <w:szCs w:val="24"/>
        </w:rPr>
        <w:br w:type="page"/>
      </w:r>
    </w:p>
    <w:p w14:paraId="6CF69B68" w14:textId="1B80C3FC" w:rsidR="002D5D0D" w:rsidRPr="008B39E1" w:rsidRDefault="00DC55B9"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lastRenderedPageBreak/>
        <w:t>TABLE VI</w:t>
      </w:r>
    </w:p>
    <w:p w14:paraId="4BB4D1E0" w14:textId="77777777" w:rsidR="002D5D0D" w:rsidRPr="008B39E1" w:rsidRDefault="002D5D0D"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Headquarters Relocation Social Capital Difference and Internal Control Ineffectiveness Two Years After Relocation</w:t>
      </w:r>
    </w:p>
    <w:p w14:paraId="72E46A32" w14:textId="77777777" w:rsidR="002D5D0D" w:rsidRPr="008B39E1" w:rsidRDefault="002D5D0D" w:rsidP="000F0F5A">
      <w:pPr>
        <w:spacing w:after="0" w:line="240" w:lineRule="auto"/>
        <w:jc w:val="center"/>
        <w:rPr>
          <w:rFonts w:ascii="Times New Roman" w:hAnsi="Times New Roman" w:cs="Times New Roman"/>
          <w:sz w:val="24"/>
          <w:szCs w:val="24"/>
        </w:rPr>
      </w:pPr>
    </w:p>
    <w:tbl>
      <w:tblPr>
        <w:tblW w:w="4567" w:type="pct"/>
        <w:tblInd w:w="810" w:type="dxa"/>
        <w:tblLook w:val="04A0" w:firstRow="1" w:lastRow="0" w:firstColumn="1" w:lastColumn="0" w:noHBand="0" w:noVBand="1"/>
      </w:tblPr>
      <w:tblGrid>
        <w:gridCol w:w="2791"/>
        <w:gridCol w:w="2879"/>
        <w:gridCol w:w="2879"/>
      </w:tblGrid>
      <w:tr w:rsidR="001024B7" w:rsidRPr="008B39E1" w14:paraId="5A73DD14" w14:textId="77777777" w:rsidTr="001E775E">
        <w:trPr>
          <w:trHeight w:val="315"/>
        </w:trPr>
        <w:tc>
          <w:tcPr>
            <w:tcW w:w="1632" w:type="pct"/>
            <w:tcBorders>
              <w:top w:val="nil"/>
              <w:left w:val="nil"/>
              <w:bottom w:val="nil"/>
              <w:right w:val="nil"/>
            </w:tcBorders>
            <w:shd w:val="clear" w:color="auto" w:fill="auto"/>
            <w:noWrap/>
            <w:vAlign w:val="bottom"/>
            <w:hideMark/>
          </w:tcPr>
          <w:p w14:paraId="3FCAE89D" w14:textId="77777777" w:rsidR="001024B7" w:rsidRPr="008B39E1" w:rsidRDefault="001024B7" w:rsidP="000F0F5A">
            <w:pPr>
              <w:spacing w:after="0" w:line="240" w:lineRule="auto"/>
              <w:ind w:firstLineChars="100" w:firstLine="240"/>
              <w:rPr>
                <w:rFonts w:ascii="Times New Roman" w:eastAsia="Times New Roman" w:hAnsi="Times New Roman" w:cs="Times New Roman"/>
                <w:color w:val="000000"/>
                <w:sz w:val="24"/>
                <w:szCs w:val="24"/>
              </w:rPr>
            </w:pPr>
          </w:p>
        </w:tc>
        <w:tc>
          <w:tcPr>
            <w:tcW w:w="3368" w:type="pct"/>
            <w:gridSpan w:val="2"/>
            <w:tcBorders>
              <w:top w:val="nil"/>
              <w:left w:val="nil"/>
              <w:bottom w:val="single" w:sz="4" w:space="0" w:color="auto"/>
              <w:right w:val="nil"/>
            </w:tcBorders>
          </w:tcPr>
          <w:p w14:paraId="664AB0F7" w14:textId="786CE91A" w:rsidR="001024B7" w:rsidRPr="008B39E1" w:rsidRDefault="001024B7" w:rsidP="000F0F5A">
            <w:pPr>
              <w:spacing w:after="0" w:line="240" w:lineRule="auto"/>
              <w:jc w:val="center"/>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 xml:space="preserve">Dependent Variable: </w:t>
            </w:r>
            <w:proofErr w:type="spellStart"/>
            <w:r w:rsidRPr="008B39E1">
              <w:rPr>
                <w:rFonts w:ascii="Times New Roman" w:eastAsia="Times New Roman" w:hAnsi="Times New Roman" w:cs="Times New Roman"/>
                <w:i/>
                <w:iCs/>
                <w:color w:val="000000"/>
                <w:sz w:val="24"/>
                <w:szCs w:val="24"/>
              </w:rPr>
              <w:t>ICINEFF</w:t>
            </w:r>
            <w:proofErr w:type="spellEnd"/>
          </w:p>
        </w:tc>
      </w:tr>
      <w:tr w:rsidR="00C17133" w:rsidRPr="008B39E1" w14:paraId="0515296E" w14:textId="77777777" w:rsidTr="001E775E">
        <w:trPr>
          <w:trHeight w:val="315"/>
        </w:trPr>
        <w:tc>
          <w:tcPr>
            <w:tcW w:w="1632" w:type="pct"/>
            <w:tcBorders>
              <w:top w:val="nil"/>
              <w:left w:val="nil"/>
              <w:bottom w:val="single" w:sz="4" w:space="0" w:color="auto"/>
              <w:right w:val="nil"/>
            </w:tcBorders>
            <w:shd w:val="clear" w:color="auto" w:fill="auto"/>
            <w:noWrap/>
            <w:vAlign w:val="bottom"/>
          </w:tcPr>
          <w:p w14:paraId="29F530F1" w14:textId="77777777" w:rsidR="00C17133" w:rsidRPr="008B39E1" w:rsidRDefault="00C17133" w:rsidP="000F0F5A">
            <w:pPr>
              <w:spacing w:after="0" w:line="240" w:lineRule="auto"/>
              <w:rPr>
                <w:rFonts w:ascii="Times New Roman" w:eastAsia="Times New Roman" w:hAnsi="Times New Roman" w:cs="Times New Roman"/>
                <w:color w:val="000000"/>
                <w:sz w:val="24"/>
                <w:szCs w:val="24"/>
              </w:rPr>
            </w:pPr>
          </w:p>
        </w:tc>
        <w:tc>
          <w:tcPr>
            <w:tcW w:w="1684" w:type="pct"/>
            <w:tcBorders>
              <w:top w:val="nil"/>
              <w:left w:val="nil"/>
              <w:bottom w:val="single" w:sz="4" w:space="0" w:color="auto"/>
              <w:right w:val="nil"/>
            </w:tcBorders>
          </w:tcPr>
          <w:p w14:paraId="49BAEF81" w14:textId="38103FD8" w:rsidR="00C17133" w:rsidRPr="008B39E1" w:rsidRDefault="001024B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(1)</w:t>
            </w:r>
          </w:p>
        </w:tc>
        <w:tc>
          <w:tcPr>
            <w:tcW w:w="1684" w:type="pct"/>
            <w:tcBorders>
              <w:top w:val="nil"/>
              <w:left w:val="nil"/>
              <w:bottom w:val="single" w:sz="4" w:space="0" w:color="auto"/>
              <w:right w:val="nil"/>
            </w:tcBorders>
            <w:shd w:val="clear" w:color="auto" w:fill="auto"/>
            <w:noWrap/>
            <w:vAlign w:val="center"/>
          </w:tcPr>
          <w:p w14:paraId="3E635DE0" w14:textId="0F45C38F" w:rsidR="00C17133" w:rsidRPr="008B39E1" w:rsidRDefault="00C17133"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w:t>
            </w:r>
            <w:r w:rsidR="001024B7" w:rsidRPr="008B39E1">
              <w:rPr>
                <w:rFonts w:ascii="Times New Roman" w:eastAsia="Times New Roman" w:hAnsi="Times New Roman" w:cs="Times New Roman"/>
                <w:color w:val="000000"/>
                <w:sz w:val="24"/>
                <w:szCs w:val="24"/>
              </w:rPr>
              <w:t>2</w:t>
            </w:r>
            <w:r w:rsidRPr="008B39E1">
              <w:rPr>
                <w:rFonts w:ascii="Times New Roman" w:eastAsia="Times New Roman" w:hAnsi="Times New Roman" w:cs="Times New Roman"/>
                <w:color w:val="000000"/>
                <w:sz w:val="24"/>
                <w:szCs w:val="24"/>
              </w:rPr>
              <w:t>)</w:t>
            </w:r>
          </w:p>
        </w:tc>
      </w:tr>
      <w:tr w:rsidR="00C17133" w:rsidRPr="008B39E1" w14:paraId="5E8CEB77" w14:textId="77777777" w:rsidTr="001E775E">
        <w:trPr>
          <w:trHeight w:val="315"/>
        </w:trPr>
        <w:tc>
          <w:tcPr>
            <w:tcW w:w="1632" w:type="pct"/>
            <w:tcBorders>
              <w:top w:val="nil"/>
              <w:left w:val="nil"/>
              <w:bottom w:val="single" w:sz="4" w:space="0" w:color="auto"/>
              <w:right w:val="nil"/>
            </w:tcBorders>
            <w:shd w:val="clear" w:color="auto" w:fill="auto"/>
            <w:noWrap/>
            <w:vAlign w:val="bottom"/>
          </w:tcPr>
          <w:p w14:paraId="17E30647" w14:textId="77777777" w:rsidR="00C17133" w:rsidRPr="008B39E1" w:rsidRDefault="00C17133" w:rsidP="000F0F5A">
            <w:pPr>
              <w:spacing w:after="0" w:line="240" w:lineRule="auto"/>
              <w:rPr>
                <w:rFonts w:ascii="Times New Roman" w:eastAsia="Times New Roman" w:hAnsi="Times New Roman" w:cs="Times New Roman"/>
                <w:color w:val="000000"/>
                <w:sz w:val="24"/>
                <w:szCs w:val="24"/>
              </w:rPr>
            </w:pPr>
          </w:p>
        </w:tc>
        <w:tc>
          <w:tcPr>
            <w:tcW w:w="1684" w:type="pct"/>
            <w:tcBorders>
              <w:top w:val="nil"/>
              <w:left w:val="nil"/>
              <w:bottom w:val="single" w:sz="4" w:space="0" w:color="auto"/>
              <w:right w:val="nil"/>
            </w:tcBorders>
          </w:tcPr>
          <w:p w14:paraId="5C5150C7" w14:textId="77777777" w:rsidR="001024B7" w:rsidRPr="008B39E1" w:rsidRDefault="001024B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Coeff</w:t>
            </w:r>
          </w:p>
          <w:p w14:paraId="33E02440" w14:textId="3694C054" w:rsidR="00C17133" w:rsidRPr="008B39E1" w:rsidRDefault="001024B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(t-statistics)</w:t>
            </w:r>
          </w:p>
        </w:tc>
        <w:tc>
          <w:tcPr>
            <w:tcW w:w="1684" w:type="pct"/>
            <w:tcBorders>
              <w:top w:val="nil"/>
              <w:left w:val="nil"/>
              <w:bottom w:val="single" w:sz="4" w:space="0" w:color="auto"/>
              <w:right w:val="nil"/>
            </w:tcBorders>
            <w:shd w:val="clear" w:color="auto" w:fill="auto"/>
            <w:noWrap/>
            <w:vAlign w:val="center"/>
          </w:tcPr>
          <w:p w14:paraId="7B7496CC" w14:textId="318419D7" w:rsidR="00C17133" w:rsidRPr="008B39E1" w:rsidRDefault="00C17133"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Coeff</w:t>
            </w:r>
          </w:p>
          <w:p w14:paraId="42CA1B7A" w14:textId="47DFE5E7" w:rsidR="00C17133" w:rsidRPr="008B39E1" w:rsidRDefault="00C17133"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(t-statistics)</w:t>
            </w:r>
          </w:p>
        </w:tc>
      </w:tr>
      <w:tr w:rsidR="00C17133" w:rsidRPr="008B39E1" w14:paraId="017929FF" w14:textId="77777777" w:rsidTr="001E775E">
        <w:trPr>
          <w:trHeight w:val="135"/>
        </w:trPr>
        <w:tc>
          <w:tcPr>
            <w:tcW w:w="1632" w:type="pct"/>
            <w:tcBorders>
              <w:top w:val="nil"/>
              <w:left w:val="nil"/>
              <w:bottom w:val="nil"/>
              <w:right w:val="nil"/>
            </w:tcBorders>
            <w:shd w:val="clear" w:color="auto" w:fill="auto"/>
            <w:noWrap/>
            <w:vAlign w:val="bottom"/>
            <w:hideMark/>
          </w:tcPr>
          <w:p w14:paraId="5F320D65" w14:textId="77777777" w:rsidR="00C17133" w:rsidRPr="008B39E1" w:rsidRDefault="00C17133" w:rsidP="000F0F5A">
            <w:pPr>
              <w:spacing w:after="0" w:line="240" w:lineRule="auto"/>
              <w:rPr>
                <w:rFonts w:ascii="Times New Roman" w:eastAsia="Times New Roman" w:hAnsi="Times New Roman" w:cs="Times New Roman"/>
                <w:color w:val="000000"/>
                <w:sz w:val="24"/>
                <w:szCs w:val="24"/>
              </w:rPr>
            </w:pPr>
          </w:p>
        </w:tc>
        <w:tc>
          <w:tcPr>
            <w:tcW w:w="1684" w:type="pct"/>
            <w:tcBorders>
              <w:top w:val="nil"/>
              <w:left w:val="nil"/>
              <w:bottom w:val="nil"/>
              <w:right w:val="nil"/>
            </w:tcBorders>
          </w:tcPr>
          <w:p w14:paraId="42A12EFC" w14:textId="77777777" w:rsidR="00C17133" w:rsidRPr="008B39E1" w:rsidRDefault="00C17133" w:rsidP="000F0F5A">
            <w:pPr>
              <w:tabs>
                <w:tab w:val="decimal" w:leader="hyphen" w:pos="288"/>
              </w:tabs>
              <w:spacing w:after="0" w:line="240" w:lineRule="auto"/>
              <w:rPr>
                <w:rFonts w:ascii="Times New Roman" w:eastAsia="Times New Roman" w:hAnsi="Times New Roman" w:cs="Times New Roman"/>
                <w:sz w:val="24"/>
                <w:szCs w:val="24"/>
              </w:rPr>
            </w:pPr>
          </w:p>
        </w:tc>
        <w:tc>
          <w:tcPr>
            <w:tcW w:w="1684" w:type="pct"/>
            <w:tcBorders>
              <w:top w:val="nil"/>
              <w:left w:val="nil"/>
              <w:bottom w:val="nil"/>
              <w:right w:val="nil"/>
            </w:tcBorders>
            <w:shd w:val="clear" w:color="auto" w:fill="auto"/>
            <w:noWrap/>
            <w:vAlign w:val="center"/>
            <w:hideMark/>
          </w:tcPr>
          <w:p w14:paraId="1E38BB61" w14:textId="72B5C706" w:rsidR="00C17133" w:rsidRPr="008B39E1" w:rsidRDefault="00C17133" w:rsidP="000F0F5A">
            <w:pPr>
              <w:tabs>
                <w:tab w:val="decimal" w:leader="hyphen" w:pos="288"/>
              </w:tabs>
              <w:spacing w:after="0" w:line="240" w:lineRule="auto"/>
              <w:rPr>
                <w:rFonts w:ascii="Times New Roman" w:eastAsia="Times New Roman" w:hAnsi="Times New Roman" w:cs="Times New Roman"/>
                <w:sz w:val="24"/>
                <w:szCs w:val="24"/>
              </w:rPr>
            </w:pPr>
          </w:p>
        </w:tc>
      </w:tr>
      <w:tr w:rsidR="001024B7" w:rsidRPr="008B39E1" w14:paraId="58FA30AA" w14:textId="77777777" w:rsidTr="001E775E">
        <w:trPr>
          <w:trHeight w:val="315"/>
        </w:trPr>
        <w:tc>
          <w:tcPr>
            <w:tcW w:w="1632" w:type="pct"/>
            <w:tcBorders>
              <w:top w:val="nil"/>
              <w:left w:val="nil"/>
              <w:bottom w:val="nil"/>
              <w:right w:val="nil"/>
            </w:tcBorders>
            <w:shd w:val="clear" w:color="auto" w:fill="auto"/>
            <w:noWrap/>
            <w:vAlign w:val="bottom"/>
          </w:tcPr>
          <w:p w14:paraId="78CEBD39" w14:textId="628698EC" w:rsidR="001024B7" w:rsidRPr="008B39E1" w:rsidRDefault="001024B7" w:rsidP="000F0F5A">
            <w:pPr>
              <w:spacing w:after="0" w:line="240" w:lineRule="auto"/>
              <w:rPr>
                <w:rFonts w:ascii="Times New Roman" w:eastAsia="Times New Roman" w:hAnsi="Times New Roman" w:cs="Times New Roman"/>
                <w:i/>
                <w:iCs/>
                <w:color w:val="000000"/>
                <w:sz w:val="24"/>
                <w:szCs w:val="24"/>
              </w:rPr>
            </w:pPr>
            <w:proofErr w:type="spellStart"/>
            <w:r w:rsidRPr="008B39E1">
              <w:rPr>
                <w:rFonts w:ascii="Times New Roman" w:eastAsia="Times New Roman" w:hAnsi="Times New Roman" w:cs="Times New Roman"/>
                <w:i/>
                <w:iCs/>
                <w:color w:val="000000"/>
                <w:sz w:val="24"/>
                <w:szCs w:val="24"/>
              </w:rPr>
              <w:t>RELOCATExPOST</w:t>
            </w:r>
            <w:proofErr w:type="spellEnd"/>
          </w:p>
        </w:tc>
        <w:tc>
          <w:tcPr>
            <w:tcW w:w="1684" w:type="pct"/>
            <w:tcBorders>
              <w:top w:val="nil"/>
              <w:left w:val="nil"/>
              <w:bottom w:val="nil"/>
              <w:right w:val="nil"/>
            </w:tcBorders>
          </w:tcPr>
          <w:p w14:paraId="2E3E2F0A" w14:textId="23C72FFF" w:rsidR="001024B7" w:rsidRPr="008B39E1" w:rsidRDefault="001024B7" w:rsidP="000F0F5A">
            <w:pPr>
              <w:tabs>
                <w:tab w:val="decimal" w:leader="hyphen" w:pos="288"/>
              </w:tabs>
              <w:spacing w:after="0" w:line="240" w:lineRule="auto"/>
              <w:jc w:val="center"/>
              <w:rPr>
                <w:rFonts w:ascii="Times New Roman" w:hAnsi="Times New Roman" w:cs="Times New Roman"/>
                <w:b/>
                <w:bCs/>
                <w:color w:val="000000"/>
                <w:sz w:val="24"/>
                <w:szCs w:val="24"/>
              </w:rPr>
            </w:pPr>
            <w:r w:rsidRPr="008B39E1">
              <w:rPr>
                <w:rFonts w:ascii="Times New Roman" w:hAnsi="Times New Roman" w:cs="Times New Roman"/>
                <w:b/>
                <w:bCs/>
                <w:color w:val="000000"/>
                <w:sz w:val="24"/>
                <w:szCs w:val="24"/>
              </w:rPr>
              <w:t>0.029**</w:t>
            </w:r>
          </w:p>
        </w:tc>
        <w:tc>
          <w:tcPr>
            <w:tcW w:w="1684" w:type="pct"/>
            <w:tcBorders>
              <w:top w:val="nil"/>
              <w:left w:val="nil"/>
              <w:bottom w:val="nil"/>
              <w:right w:val="nil"/>
            </w:tcBorders>
            <w:shd w:val="clear" w:color="auto" w:fill="auto"/>
            <w:noWrap/>
            <w:vAlign w:val="bottom"/>
          </w:tcPr>
          <w:p w14:paraId="229F6BE0" w14:textId="77777777" w:rsidR="001024B7" w:rsidRPr="008B39E1" w:rsidRDefault="001024B7" w:rsidP="000F0F5A">
            <w:pPr>
              <w:tabs>
                <w:tab w:val="decimal" w:leader="hyphen" w:pos="288"/>
              </w:tabs>
              <w:spacing w:after="0" w:line="240" w:lineRule="auto"/>
              <w:jc w:val="center"/>
              <w:rPr>
                <w:rFonts w:ascii="Times New Roman" w:hAnsi="Times New Roman" w:cs="Times New Roman"/>
                <w:b/>
                <w:bCs/>
                <w:color w:val="000000"/>
                <w:sz w:val="24"/>
                <w:szCs w:val="24"/>
              </w:rPr>
            </w:pPr>
          </w:p>
        </w:tc>
      </w:tr>
      <w:tr w:rsidR="001024B7" w:rsidRPr="008B39E1" w14:paraId="2EA825C6" w14:textId="77777777" w:rsidTr="001E775E">
        <w:trPr>
          <w:trHeight w:val="315"/>
        </w:trPr>
        <w:tc>
          <w:tcPr>
            <w:tcW w:w="1632" w:type="pct"/>
            <w:tcBorders>
              <w:top w:val="nil"/>
              <w:left w:val="nil"/>
              <w:bottom w:val="nil"/>
              <w:right w:val="nil"/>
            </w:tcBorders>
            <w:shd w:val="clear" w:color="auto" w:fill="auto"/>
            <w:noWrap/>
            <w:vAlign w:val="bottom"/>
          </w:tcPr>
          <w:p w14:paraId="1129BDC1" w14:textId="77777777" w:rsidR="001024B7" w:rsidRPr="008B39E1" w:rsidRDefault="001024B7" w:rsidP="000F0F5A">
            <w:pPr>
              <w:spacing w:after="0" w:line="240" w:lineRule="auto"/>
              <w:rPr>
                <w:rFonts w:ascii="Times New Roman" w:eastAsia="Times New Roman" w:hAnsi="Times New Roman" w:cs="Times New Roman"/>
                <w:i/>
                <w:iCs/>
                <w:color w:val="000000"/>
                <w:sz w:val="24"/>
                <w:szCs w:val="24"/>
              </w:rPr>
            </w:pPr>
          </w:p>
        </w:tc>
        <w:tc>
          <w:tcPr>
            <w:tcW w:w="1684" w:type="pct"/>
            <w:tcBorders>
              <w:top w:val="nil"/>
              <w:left w:val="nil"/>
              <w:bottom w:val="nil"/>
              <w:right w:val="nil"/>
            </w:tcBorders>
          </w:tcPr>
          <w:p w14:paraId="09616058" w14:textId="5152F55C" w:rsidR="001024B7" w:rsidRPr="008B39E1" w:rsidRDefault="001024B7" w:rsidP="000F0F5A">
            <w:pPr>
              <w:tabs>
                <w:tab w:val="decimal" w:leader="hyphen" w:pos="288"/>
              </w:tabs>
              <w:spacing w:after="0" w:line="240" w:lineRule="auto"/>
              <w:jc w:val="center"/>
              <w:rPr>
                <w:rFonts w:ascii="Times New Roman" w:hAnsi="Times New Roman" w:cs="Times New Roman"/>
                <w:b/>
                <w:bCs/>
                <w:color w:val="000000"/>
                <w:sz w:val="24"/>
                <w:szCs w:val="24"/>
              </w:rPr>
            </w:pPr>
            <w:r w:rsidRPr="008B39E1">
              <w:rPr>
                <w:rFonts w:ascii="Times New Roman" w:hAnsi="Times New Roman" w:cs="Times New Roman"/>
                <w:b/>
                <w:bCs/>
                <w:color w:val="000000"/>
                <w:sz w:val="24"/>
                <w:szCs w:val="24"/>
              </w:rPr>
              <w:t>(2.233)</w:t>
            </w:r>
          </w:p>
        </w:tc>
        <w:tc>
          <w:tcPr>
            <w:tcW w:w="1684" w:type="pct"/>
            <w:tcBorders>
              <w:top w:val="nil"/>
              <w:left w:val="nil"/>
              <w:bottom w:val="nil"/>
              <w:right w:val="nil"/>
            </w:tcBorders>
            <w:shd w:val="clear" w:color="auto" w:fill="auto"/>
            <w:noWrap/>
            <w:vAlign w:val="bottom"/>
          </w:tcPr>
          <w:p w14:paraId="77B9D187" w14:textId="77777777" w:rsidR="001024B7" w:rsidRPr="008B39E1" w:rsidRDefault="001024B7" w:rsidP="000F0F5A">
            <w:pPr>
              <w:tabs>
                <w:tab w:val="decimal" w:leader="hyphen" w:pos="288"/>
              </w:tabs>
              <w:spacing w:after="0" w:line="240" w:lineRule="auto"/>
              <w:jc w:val="center"/>
              <w:rPr>
                <w:rFonts w:ascii="Times New Roman" w:hAnsi="Times New Roman" w:cs="Times New Roman"/>
                <w:b/>
                <w:bCs/>
                <w:color w:val="000000"/>
                <w:sz w:val="24"/>
                <w:szCs w:val="24"/>
              </w:rPr>
            </w:pPr>
          </w:p>
        </w:tc>
      </w:tr>
      <w:tr w:rsidR="001024B7" w:rsidRPr="008B39E1" w14:paraId="57ABE503" w14:textId="77777777" w:rsidTr="001E775E">
        <w:trPr>
          <w:trHeight w:val="315"/>
        </w:trPr>
        <w:tc>
          <w:tcPr>
            <w:tcW w:w="1632" w:type="pct"/>
            <w:tcBorders>
              <w:top w:val="nil"/>
              <w:left w:val="nil"/>
              <w:bottom w:val="nil"/>
              <w:right w:val="nil"/>
            </w:tcBorders>
            <w:shd w:val="clear" w:color="auto" w:fill="auto"/>
            <w:noWrap/>
            <w:vAlign w:val="bottom"/>
            <w:hideMark/>
          </w:tcPr>
          <w:p w14:paraId="204CC021" w14:textId="091CAA73" w:rsidR="001024B7" w:rsidRPr="008B39E1" w:rsidRDefault="001024B7" w:rsidP="000F0F5A">
            <w:pPr>
              <w:spacing w:after="0" w:line="240" w:lineRule="auto"/>
              <w:rPr>
                <w:rFonts w:ascii="Times New Roman" w:eastAsia="Times New Roman" w:hAnsi="Times New Roman" w:cs="Times New Roman"/>
                <w:i/>
                <w:iCs/>
                <w:color w:val="000000"/>
                <w:sz w:val="24"/>
                <w:szCs w:val="24"/>
              </w:rPr>
            </w:pPr>
            <w:r w:rsidRPr="008B39E1">
              <w:rPr>
                <w:rFonts w:ascii="Times New Roman" w:eastAsia="Times New Roman" w:hAnsi="Times New Roman" w:cs="Times New Roman"/>
                <w:i/>
                <w:iCs/>
                <w:color w:val="000000"/>
                <w:sz w:val="24"/>
                <w:szCs w:val="24"/>
              </w:rPr>
              <w:t>RELOCATExPOST1</w:t>
            </w:r>
          </w:p>
        </w:tc>
        <w:tc>
          <w:tcPr>
            <w:tcW w:w="1684" w:type="pct"/>
            <w:tcBorders>
              <w:top w:val="nil"/>
              <w:left w:val="nil"/>
              <w:bottom w:val="nil"/>
              <w:right w:val="nil"/>
            </w:tcBorders>
          </w:tcPr>
          <w:p w14:paraId="1D3D721A" w14:textId="77777777" w:rsidR="001024B7" w:rsidRPr="008B39E1" w:rsidRDefault="001024B7" w:rsidP="000F0F5A">
            <w:pPr>
              <w:tabs>
                <w:tab w:val="decimal" w:leader="hyphen" w:pos="288"/>
              </w:tabs>
              <w:spacing w:after="0" w:line="240" w:lineRule="auto"/>
              <w:jc w:val="center"/>
              <w:rPr>
                <w:rFonts w:ascii="Times New Roman" w:hAnsi="Times New Roman" w:cs="Times New Roman"/>
                <w:b/>
                <w:bCs/>
                <w:color w:val="000000"/>
                <w:sz w:val="24"/>
                <w:szCs w:val="24"/>
              </w:rPr>
            </w:pPr>
          </w:p>
        </w:tc>
        <w:tc>
          <w:tcPr>
            <w:tcW w:w="1684" w:type="pct"/>
            <w:tcBorders>
              <w:top w:val="nil"/>
              <w:left w:val="nil"/>
              <w:bottom w:val="nil"/>
              <w:right w:val="nil"/>
            </w:tcBorders>
            <w:shd w:val="clear" w:color="auto" w:fill="auto"/>
            <w:noWrap/>
            <w:vAlign w:val="bottom"/>
            <w:hideMark/>
          </w:tcPr>
          <w:p w14:paraId="3B737713" w14:textId="626A25EA" w:rsidR="001024B7" w:rsidRPr="008B39E1" w:rsidRDefault="001024B7" w:rsidP="000F0F5A">
            <w:pPr>
              <w:tabs>
                <w:tab w:val="decimal" w:leader="hyphen" w:pos="288"/>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b/>
                <w:bCs/>
                <w:color w:val="000000"/>
                <w:sz w:val="24"/>
                <w:szCs w:val="24"/>
              </w:rPr>
              <w:t xml:space="preserve">       0.040***</w:t>
            </w:r>
          </w:p>
        </w:tc>
      </w:tr>
      <w:tr w:rsidR="001024B7" w:rsidRPr="008B39E1" w14:paraId="30C805B6" w14:textId="77777777" w:rsidTr="001E775E">
        <w:trPr>
          <w:trHeight w:val="315"/>
        </w:trPr>
        <w:tc>
          <w:tcPr>
            <w:tcW w:w="1632" w:type="pct"/>
            <w:tcBorders>
              <w:top w:val="nil"/>
              <w:left w:val="nil"/>
              <w:bottom w:val="nil"/>
              <w:right w:val="nil"/>
            </w:tcBorders>
            <w:shd w:val="clear" w:color="auto" w:fill="auto"/>
            <w:noWrap/>
            <w:vAlign w:val="bottom"/>
            <w:hideMark/>
          </w:tcPr>
          <w:p w14:paraId="787D82CC" w14:textId="77777777" w:rsidR="001024B7" w:rsidRPr="008B39E1" w:rsidRDefault="001024B7" w:rsidP="000F0F5A">
            <w:pPr>
              <w:spacing w:after="0" w:line="240" w:lineRule="auto"/>
              <w:rPr>
                <w:rFonts w:ascii="Times New Roman" w:eastAsia="Times New Roman" w:hAnsi="Times New Roman" w:cs="Times New Roman"/>
                <w:i/>
                <w:iCs/>
                <w:sz w:val="24"/>
                <w:szCs w:val="24"/>
              </w:rPr>
            </w:pPr>
          </w:p>
        </w:tc>
        <w:tc>
          <w:tcPr>
            <w:tcW w:w="1684" w:type="pct"/>
            <w:tcBorders>
              <w:top w:val="nil"/>
              <w:left w:val="nil"/>
              <w:bottom w:val="nil"/>
              <w:right w:val="nil"/>
            </w:tcBorders>
          </w:tcPr>
          <w:p w14:paraId="1F9A7674" w14:textId="77777777" w:rsidR="001024B7" w:rsidRPr="008B39E1" w:rsidRDefault="001024B7" w:rsidP="000F0F5A">
            <w:pPr>
              <w:tabs>
                <w:tab w:val="decimal" w:leader="hyphen" w:pos="288"/>
              </w:tabs>
              <w:spacing w:after="0" w:line="240" w:lineRule="auto"/>
              <w:jc w:val="center"/>
              <w:rPr>
                <w:rFonts w:ascii="Times New Roman" w:hAnsi="Times New Roman" w:cs="Times New Roman"/>
                <w:b/>
                <w:bCs/>
                <w:color w:val="000000"/>
                <w:sz w:val="24"/>
                <w:szCs w:val="24"/>
              </w:rPr>
            </w:pPr>
          </w:p>
        </w:tc>
        <w:tc>
          <w:tcPr>
            <w:tcW w:w="1684" w:type="pct"/>
            <w:tcBorders>
              <w:top w:val="nil"/>
              <w:left w:val="nil"/>
              <w:bottom w:val="nil"/>
              <w:right w:val="nil"/>
            </w:tcBorders>
            <w:shd w:val="clear" w:color="auto" w:fill="auto"/>
            <w:noWrap/>
            <w:vAlign w:val="bottom"/>
            <w:hideMark/>
          </w:tcPr>
          <w:p w14:paraId="020FBCBB" w14:textId="0B859B10" w:rsidR="001024B7" w:rsidRPr="008B39E1" w:rsidRDefault="001024B7" w:rsidP="000F0F5A">
            <w:pPr>
              <w:tabs>
                <w:tab w:val="decimal" w:leader="hyphen" w:pos="288"/>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b/>
                <w:bCs/>
                <w:color w:val="000000"/>
                <w:sz w:val="24"/>
                <w:szCs w:val="24"/>
              </w:rPr>
              <w:t>(2.924)</w:t>
            </w:r>
          </w:p>
        </w:tc>
      </w:tr>
      <w:tr w:rsidR="001024B7" w:rsidRPr="008B39E1" w14:paraId="007E17C3" w14:textId="77777777" w:rsidTr="001E775E">
        <w:trPr>
          <w:trHeight w:val="315"/>
        </w:trPr>
        <w:tc>
          <w:tcPr>
            <w:tcW w:w="1632" w:type="pct"/>
            <w:tcBorders>
              <w:top w:val="nil"/>
              <w:left w:val="nil"/>
              <w:bottom w:val="nil"/>
              <w:right w:val="nil"/>
            </w:tcBorders>
            <w:shd w:val="clear" w:color="auto" w:fill="auto"/>
            <w:noWrap/>
            <w:vAlign w:val="bottom"/>
            <w:hideMark/>
          </w:tcPr>
          <w:p w14:paraId="048FDE4E" w14:textId="2BC3A9E9" w:rsidR="001024B7" w:rsidRPr="008B39E1" w:rsidRDefault="001024B7" w:rsidP="000F0F5A">
            <w:pPr>
              <w:spacing w:after="0" w:line="240" w:lineRule="auto"/>
              <w:rPr>
                <w:rFonts w:ascii="Times New Roman" w:eastAsia="Times New Roman" w:hAnsi="Times New Roman" w:cs="Times New Roman"/>
                <w:i/>
                <w:iCs/>
                <w:color w:val="000000"/>
                <w:sz w:val="24"/>
                <w:szCs w:val="24"/>
              </w:rPr>
            </w:pPr>
            <w:r w:rsidRPr="008B39E1">
              <w:rPr>
                <w:rFonts w:ascii="Times New Roman" w:hAnsi="Times New Roman" w:cs="Times New Roman"/>
                <w:i/>
                <w:iCs/>
                <w:color w:val="000000"/>
                <w:sz w:val="24"/>
                <w:szCs w:val="24"/>
              </w:rPr>
              <w:t>RELOCATExPOST2</w:t>
            </w:r>
          </w:p>
        </w:tc>
        <w:tc>
          <w:tcPr>
            <w:tcW w:w="1684" w:type="pct"/>
            <w:tcBorders>
              <w:top w:val="nil"/>
              <w:left w:val="nil"/>
              <w:bottom w:val="nil"/>
              <w:right w:val="nil"/>
            </w:tcBorders>
          </w:tcPr>
          <w:p w14:paraId="105839DB" w14:textId="77777777" w:rsidR="001024B7" w:rsidRPr="008B39E1" w:rsidRDefault="001024B7" w:rsidP="000F0F5A">
            <w:pPr>
              <w:tabs>
                <w:tab w:val="decimal" w:leader="hyphen" w:pos="288"/>
              </w:tabs>
              <w:spacing w:after="0" w:line="240" w:lineRule="auto"/>
              <w:jc w:val="center"/>
              <w:rPr>
                <w:rFonts w:ascii="Times New Roman" w:hAnsi="Times New Roman" w:cs="Times New Roman"/>
                <w:color w:val="000000"/>
                <w:sz w:val="24"/>
                <w:szCs w:val="24"/>
              </w:rPr>
            </w:pPr>
          </w:p>
        </w:tc>
        <w:tc>
          <w:tcPr>
            <w:tcW w:w="1684" w:type="pct"/>
            <w:tcBorders>
              <w:top w:val="nil"/>
              <w:left w:val="nil"/>
              <w:bottom w:val="nil"/>
              <w:right w:val="nil"/>
            </w:tcBorders>
            <w:shd w:val="clear" w:color="auto" w:fill="auto"/>
            <w:noWrap/>
            <w:vAlign w:val="bottom"/>
            <w:hideMark/>
          </w:tcPr>
          <w:p w14:paraId="1E500FE2" w14:textId="72004B5E" w:rsidR="001024B7" w:rsidRPr="008B39E1" w:rsidRDefault="001024B7" w:rsidP="000F0F5A">
            <w:pPr>
              <w:tabs>
                <w:tab w:val="decimal" w:leader="hyphen" w:pos="288"/>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0.013</w:t>
            </w:r>
          </w:p>
        </w:tc>
      </w:tr>
      <w:tr w:rsidR="001024B7" w:rsidRPr="008B39E1" w14:paraId="4E8331E6" w14:textId="77777777" w:rsidTr="001E775E">
        <w:trPr>
          <w:trHeight w:val="315"/>
        </w:trPr>
        <w:tc>
          <w:tcPr>
            <w:tcW w:w="1632" w:type="pct"/>
            <w:tcBorders>
              <w:top w:val="nil"/>
              <w:left w:val="nil"/>
              <w:bottom w:val="nil"/>
              <w:right w:val="nil"/>
            </w:tcBorders>
            <w:shd w:val="clear" w:color="auto" w:fill="auto"/>
            <w:noWrap/>
            <w:vAlign w:val="bottom"/>
            <w:hideMark/>
          </w:tcPr>
          <w:p w14:paraId="00625256" w14:textId="77777777" w:rsidR="001024B7" w:rsidRPr="008B39E1" w:rsidRDefault="001024B7" w:rsidP="000F0F5A">
            <w:pPr>
              <w:spacing w:after="0" w:line="240" w:lineRule="auto"/>
              <w:rPr>
                <w:rFonts w:ascii="Times New Roman" w:eastAsia="Times New Roman" w:hAnsi="Times New Roman" w:cs="Times New Roman"/>
                <w:i/>
                <w:iCs/>
                <w:sz w:val="24"/>
                <w:szCs w:val="24"/>
              </w:rPr>
            </w:pPr>
          </w:p>
        </w:tc>
        <w:tc>
          <w:tcPr>
            <w:tcW w:w="1684" w:type="pct"/>
            <w:tcBorders>
              <w:top w:val="nil"/>
              <w:left w:val="nil"/>
              <w:bottom w:val="nil"/>
              <w:right w:val="nil"/>
            </w:tcBorders>
          </w:tcPr>
          <w:p w14:paraId="4A7472C1" w14:textId="77777777" w:rsidR="001024B7" w:rsidRPr="008B39E1" w:rsidRDefault="001024B7" w:rsidP="000F0F5A">
            <w:pPr>
              <w:tabs>
                <w:tab w:val="decimal" w:leader="hyphen" w:pos="288"/>
              </w:tabs>
              <w:spacing w:after="0" w:line="240" w:lineRule="auto"/>
              <w:jc w:val="center"/>
              <w:rPr>
                <w:rFonts w:ascii="Times New Roman" w:hAnsi="Times New Roman" w:cs="Times New Roman"/>
                <w:color w:val="000000"/>
                <w:sz w:val="24"/>
                <w:szCs w:val="24"/>
              </w:rPr>
            </w:pPr>
          </w:p>
        </w:tc>
        <w:tc>
          <w:tcPr>
            <w:tcW w:w="1684" w:type="pct"/>
            <w:tcBorders>
              <w:top w:val="nil"/>
              <w:left w:val="nil"/>
              <w:bottom w:val="nil"/>
              <w:right w:val="nil"/>
            </w:tcBorders>
            <w:shd w:val="clear" w:color="auto" w:fill="auto"/>
            <w:noWrap/>
            <w:vAlign w:val="bottom"/>
            <w:hideMark/>
          </w:tcPr>
          <w:p w14:paraId="56FD4D16" w14:textId="015C3BF2" w:rsidR="001024B7" w:rsidRPr="008B39E1" w:rsidRDefault="001024B7" w:rsidP="000F0F5A">
            <w:pPr>
              <w:tabs>
                <w:tab w:val="decimal" w:leader="hyphen" w:pos="288"/>
              </w:tabs>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(0.822)</w:t>
            </w:r>
          </w:p>
        </w:tc>
      </w:tr>
      <w:tr w:rsidR="001024B7" w:rsidRPr="008B39E1" w14:paraId="3C64509C" w14:textId="77777777" w:rsidTr="001E775E">
        <w:trPr>
          <w:trHeight w:val="135"/>
        </w:trPr>
        <w:tc>
          <w:tcPr>
            <w:tcW w:w="1632" w:type="pct"/>
            <w:tcBorders>
              <w:top w:val="nil"/>
              <w:left w:val="nil"/>
              <w:bottom w:val="nil"/>
              <w:right w:val="nil"/>
            </w:tcBorders>
            <w:shd w:val="clear" w:color="auto" w:fill="auto"/>
            <w:noWrap/>
            <w:vAlign w:val="bottom"/>
            <w:hideMark/>
          </w:tcPr>
          <w:p w14:paraId="701A26E8" w14:textId="77777777" w:rsidR="001024B7" w:rsidRPr="008B39E1" w:rsidRDefault="001024B7" w:rsidP="000F0F5A">
            <w:pPr>
              <w:spacing w:after="0" w:line="240" w:lineRule="auto"/>
              <w:rPr>
                <w:rFonts w:ascii="Times New Roman" w:eastAsia="Times New Roman" w:hAnsi="Times New Roman" w:cs="Times New Roman"/>
                <w:sz w:val="24"/>
                <w:szCs w:val="24"/>
              </w:rPr>
            </w:pPr>
          </w:p>
        </w:tc>
        <w:tc>
          <w:tcPr>
            <w:tcW w:w="1684" w:type="pct"/>
            <w:tcBorders>
              <w:top w:val="nil"/>
              <w:left w:val="nil"/>
              <w:bottom w:val="nil"/>
              <w:right w:val="nil"/>
            </w:tcBorders>
          </w:tcPr>
          <w:p w14:paraId="4AD11B5D" w14:textId="77777777" w:rsidR="001024B7" w:rsidRPr="008B39E1" w:rsidRDefault="001024B7" w:rsidP="000F0F5A">
            <w:pPr>
              <w:spacing w:after="0" w:line="240" w:lineRule="auto"/>
              <w:rPr>
                <w:rFonts w:ascii="Times New Roman" w:eastAsia="Times New Roman" w:hAnsi="Times New Roman" w:cs="Times New Roman"/>
                <w:sz w:val="24"/>
                <w:szCs w:val="24"/>
              </w:rPr>
            </w:pPr>
          </w:p>
        </w:tc>
        <w:tc>
          <w:tcPr>
            <w:tcW w:w="1684" w:type="pct"/>
            <w:tcBorders>
              <w:top w:val="nil"/>
              <w:left w:val="nil"/>
              <w:bottom w:val="nil"/>
              <w:right w:val="nil"/>
            </w:tcBorders>
            <w:shd w:val="clear" w:color="auto" w:fill="auto"/>
            <w:noWrap/>
            <w:vAlign w:val="center"/>
            <w:hideMark/>
          </w:tcPr>
          <w:p w14:paraId="3653800D" w14:textId="70C4D94C" w:rsidR="001024B7" w:rsidRPr="008B39E1" w:rsidRDefault="001024B7" w:rsidP="000F0F5A">
            <w:pPr>
              <w:spacing w:after="0" w:line="240" w:lineRule="auto"/>
              <w:rPr>
                <w:rFonts w:ascii="Times New Roman" w:eastAsia="Times New Roman" w:hAnsi="Times New Roman" w:cs="Times New Roman"/>
                <w:sz w:val="24"/>
                <w:szCs w:val="24"/>
              </w:rPr>
            </w:pPr>
          </w:p>
        </w:tc>
      </w:tr>
      <w:tr w:rsidR="001024B7" w:rsidRPr="008B39E1" w14:paraId="6CBC256F" w14:textId="77777777" w:rsidTr="001E775E">
        <w:trPr>
          <w:trHeight w:val="315"/>
        </w:trPr>
        <w:tc>
          <w:tcPr>
            <w:tcW w:w="1632" w:type="pct"/>
            <w:tcBorders>
              <w:top w:val="nil"/>
              <w:left w:val="nil"/>
              <w:bottom w:val="nil"/>
              <w:right w:val="nil"/>
            </w:tcBorders>
            <w:shd w:val="clear" w:color="auto" w:fill="auto"/>
            <w:noWrap/>
            <w:vAlign w:val="center"/>
            <w:hideMark/>
          </w:tcPr>
          <w:p w14:paraId="6F753B00" w14:textId="77777777" w:rsidR="001024B7" w:rsidRPr="008B39E1" w:rsidRDefault="001024B7"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Controls</w:t>
            </w:r>
          </w:p>
        </w:tc>
        <w:tc>
          <w:tcPr>
            <w:tcW w:w="1684" w:type="pct"/>
            <w:tcBorders>
              <w:top w:val="nil"/>
              <w:left w:val="nil"/>
              <w:bottom w:val="nil"/>
              <w:right w:val="nil"/>
            </w:tcBorders>
          </w:tcPr>
          <w:p w14:paraId="3EAD60E7" w14:textId="34937F79" w:rsidR="001024B7" w:rsidRPr="008B39E1" w:rsidRDefault="00F6593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Yes</w:t>
            </w:r>
          </w:p>
        </w:tc>
        <w:tc>
          <w:tcPr>
            <w:tcW w:w="1684" w:type="pct"/>
            <w:tcBorders>
              <w:top w:val="nil"/>
              <w:left w:val="nil"/>
              <w:bottom w:val="nil"/>
              <w:right w:val="nil"/>
            </w:tcBorders>
            <w:shd w:val="clear" w:color="auto" w:fill="auto"/>
            <w:noWrap/>
            <w:vAlign w:val="center"/>
            <w:hideMark/>
          </w:tcPr>
          <w:p w14:paraId="7F655007" w14:textId="207B8BC2" w:rsidR="001024B7" w:rsidRPr="008B39E1" w:rsidRDefault="001024B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Yes</w:t>
            </w:r>
          </w:p>
        </w:tc>
      </w:tr>
      <w:tr w:rsidR="001024B7" w:rsidRPr="008B39E1" w14:paraId="7E99A49C" w14:textId="77777777" w:rsidTr="001E775E">
        <w:trPr>
          <w:trHeight w:val="315"/>
        </w:trPr>
        <w:tc>
          <w:tcPr>
            <w:tcW w:w="1632" w:type="pct"/>
            <w:tcBorders>
              <w:top w:val="nil"/>
              <w:left w:val="nil"/>
              <w:bottom w:val="nil"/>
              <w:right w:val="nil"/>
            </w:tcBorders>
            <w:shd w:val="clear" w:color="auto" w:fill="auto"/>
            <w:noWrap/>
            <w:vAlign w:val="center"/>
            <w:hideMark/>
          </w:tcPr>
          <w:p w14:paraId="08F50E23" w14:textId="77777777" w:rsidR="001024B7" w:rsidRPr="008B39E1" w:rsidRDefault="001024B7"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Fixed Effects</w:t>
            </w:r>
          </w:p>
        </w:tc>
        <w:tc>
          <w:tcPr>
            <w:tcW w:w="1684" w:type="pct"/>
            <w:tcBorders>
              <w:top w:val="nil"/>
              <w:left w:val="nil"/>
              <w:bottom w:val="nil"/>
              <w:right w:val="nil"/>
            </w:tcBorders>
          </w:tcPr>
          <w:p w14:paraId="2361928A" w14:textId="0926C7E3" w:rsidR="001024B7" w:rsidRPr="008B39E1" w:rsidRDefault="00F6593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Industry, Year</w:t>
            </w:r>
          </w:p>
        </w:tc>
        <w:tc>
          <w:tcPr>
            <w:tcW w:w="1684" w:type="pct"/>
            <w:tcBorders>
              <w:top w:val="nil"/>
              <w:left w:val="nil"/>
              <w:bottom w:val="nil"/>
              <w:right w:val="nil"/>
            </w:tcBorders>
            <w:shd w:val="clear" w:color="auto" w:fill="auto"/>
            <w:noWrap/>
            <w:vAlign w:val="center"/>
            <w:hideMark/>
          </w:tcPr>
          <w:p w14:paraId="3C2BFD1A" w14:textId="00BB1000" w:rsidR="001024B7" w:rsidRPr="008B39E1" w:rsidRDefault="001024B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Industry, Year</w:t>
            </w:r>
          </w:p>
        </w:tc>
      </w:tr>
      <w:tr w:rsidR="001024B7" w:rsidRPr="008B39E1" w14:paraId="593912F6" w14:textId="77777777" w:rsidTr="001E775E">
        <w:trPr>
          <w:trHeight w:val="315"/>
        </w:trPr>
        <w:tc>
          <w:tcPr>
            <w:tcW w:w="1632" w:type="pct"/>
            <w:tcBorders>
              <w:top w:val="nil"/>
              <w:left w:val="nil"/>
              <w:bottom w:val="nil"/>
              <w:right w:val="nil"/>
            </w:tcBorders>
            <w:shd w:val="clear" w:color="auto" w:fill="auto"/>
            <w:noWrap/>
            <w:vAlign w:val="center"/>
            <w:hideMark/>
          </w:tcPr>
          <w:p w14:paraId="674CF087" w14:textId="77777777" w:rsidR="001024B7" w:rsidRPr="008B39E1" w:rsidRDefault="001024B7"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Clustered SE</w:t>
            </w:r>
          </w:p>
        </w:tc>
        <w:tc>
          <w:tcPr>
            <w:tcW w:w="1684" w:type="pct"/>
            <w:tcBorders>
              <w:top w:val="nil"/>
              <w:left w:val="nil"/>
              <w:bottom w:val="nil"/>
              <w:right w:val="nil"/>
            </w:tcBorders>
          </w:tcPr>
          <w:p w14:paraId="2E99C29F" w14:textId="3B92D186" w:rsidR="001024B7" w:rsidRPr="008B39E1" w:rsidRDefault="00F6593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Firm</w:t>
            </w:r>
          </w:p>
        </w:tc>
        <w:tc>
          <w:tcPr>
            <w:tcW w:w="1684" w:type="pct"/>
            <w:tcBorders>
              <w:top w:val="nil"/>
              <w:left w:val="nil"/>
              <w:bottom w:val="nil"/>
              <w:right w:val="nil"/>
            </w:tcBorders>
            <w:shd w:val="clear" w:color="auto" w:fill="auto"/>
            <w:noWrap/>
            <w:vAlign w:val="center"/>
            <w:hideMark/>
          </w:tcPr>
          <w:p w14:paraId="0DB44EA0" w14:textId="63FE51EC" w:rsidR="001024B7" w:rsidRPr="008B39E1" w:rsidRDefault="001024B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Firm</w:t>
            </w:r>
          </w:p>
        </w:tc>
      </w:tr>
      <w:tr w:rsidR="001024B7" w:rsidRPr="008B39E1" w14:paraId="7324D752" w14:textId="77777777" w:rsidTr="001E775E">
        <w:trPr>
          <w:trHeight w:val="315"/>
        </w:trPr>
        <w:tc>
          <w:tcPr>
            <w:tcW w:w="1632" w:type="pct"/>
            <w:tcBorders>
              <w:top w:val="nil"/>
              <w:left w:val="nil"/>
              <w:right w:val="nil"/>
            </w:tcBorders>
            <w:shd w:val="clear" w:color="auto" w:fill="auto"/>
            <w:noWrap/>
            <w:vAlign w:val="center"/>
            <w:hideMark/>
          </w:tcPr>
          <w:p w14:paraId="7D99421A" w14:textId="77777777" w:rsidR="001024B7" w:rsidRPr="008B39E1" w:rsidRDefault="001024B7"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N</w:t>
            </w:r>
          </w:p>
        </w:tc>
        <w:tc>
          <w:tcPr>
            <w:tcW w:w="1684" w:type="pct"/>
            <w:tcBorders>
              <w:top w:val="nil"/>
              <w:left w:val="nil"/>
              <w:right w:val="nil"/>
            </w:tcBorders>
            <w:vAlign w:val="center"/>
          </w:tcPr>
          <w:p w14:paraId="02CC2AAE" w14:textId="7C4C4A0A" w:rsidR="001024B7" w:rsidRPr="008B39E1" w:rsidRDefault="00F65937" w:rsidP="000F0F5A">
            <w:pPr>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5</w:t>
            </w:r>
            <w:r w:rsidR="006C37C1" w:rsidRPr="008B39E1">
              <w:rPr>
                <w:rFonts w:ascii="Times New Roman" w:hAnsi="Times New Roman" w:cs="Times New Roman"/>
                <w:color w:val="000000"/>
                <w:sz w:val="24"/>
                <w:szCs w:val="24"/>
              </w:rPr>
              <w:t>,</w:t>
            </w:r>
            <w:r w:rsidRPr="008B39E1">
              <w:rPr>
                <w:rFonts w:ascii="Times New Roman" w:hAnsi="Times New Roman" w:cs="Times New Roman"/>
                <w:color w:val="000000"/>
                <w:sz w:val="24"/>
                <w:szCs w:val="24"/>
              </w:rPr>
              <w:t>057</w:t>
            </w:r>
          </w:p>
        </w:tc>
        <w:tc>
          <w:tcPr>
            <w:tcW w:w="1684" w:type="pct"/>
            <w:tcBorders>
              <w:top w:val="nil"/>
              <w:left w:val="nil"/>
              <w:right w:val="nil"/>
            </w:tcBorders>
            <w:shd w:val="clear" w:color="auto" w:fill="auto"/>
            <w:noWrap/>
            <w:vAlign w:val="center"/>
            <w:hideMark/>
          </w:tcPr>
          <w:p w14:paraId="7B89DE5F" w14:textId="7C88C9BA" w:rsidR="001024B7" w:rsidRPr="008B39E1" w:rsidRDefault="001024B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5</w:t>
            </w:r>
            <w:r w:rsidR="006C37C1" w:rsidRPr="008B39E1">
              <w:rPr>
                <w:rFonts w:ascii="Times New Roman" w:hAnsi="Times New Roman" w:cs="Times New Roman"/>
                <w:color w:val="000000"/>
                <w:sz w:val="24"/>
                <w:szCs w:val="24"/>
              </w:rPr>
              <w:t>,</w:t>
            </w:r>
            <w:r w:rsidRPr="008B39E1">
              <w:rPr>
                <w:rFonts w:ascii="Times New Roman" w:hAnsi="Times New Roman" w:cs="Times New Roman"/>
                <w:color w:val="000000"/>
                <w:sz w:val="24"/>
                <w:szCs w:val="24"/>
              </w:rPr>
              <w:t>057</w:t>
            </w:r>
          </w:p>
        </w:tc>
      </w:tr>
      <w:tr w:rsidR="001024B7" w:rsidRPr="008B39E1" w14:paraId="50D34C1D" w14:textId="77777777" w:rsidTr="001E775E">
        <w:trPr>
          <w:trHeight w:val="375"/>
        </w:trPr>
        <w:tc>
          <w:tcPr>
            <w:tcW w:w="1632" w:type="pct"/>
            <w:tcBorders>
              <w:top w:val="nil"/>
              <w:left w:val="nil"/>
              <w:bottom w:val="single" w:sz="4" w:space="0" w:color="auto"/>
              <w:right w:val="nil"/>
            </w:tcBorders>
            <w:shd w:val="clear" w:color="auto" w:fill="auto"/>
            <w:noWrap/>
            <w:vAlign w:val="center"/>
            <w:hideMark/>
          </w:tcPr>
          <w:p w14:paraId="67656BE2" w14:textId="77777777" w:rsidR="001024B7" w:rsidRPr="008B39E1" w:rsidRDefault="001024B7" w:rsidP="000F0F5A">
            <w:pPr>
              <w:spacing w:after="0" w:line="240" w:lineRule="auto"/>
              <w:rPr>
                <w:rFonts w:ascii="Times New Roman" w:eastAsia="Times New Roman" w:hAnsi="Times New Roman" w:cs="Times New Roman"/>
                <w:color w:val="000000"/>
                <w:sz w:val="24"/>
                <w:szCs w:val="24"/>
              </w:rPr>
            </w:pPr>
            <w:r w:rsidRPr="008B39E1">
              <w:rPr>
                <w:rFonts w:ascii="Times New Roman" w:eastAsia="Times New Roman" w:hAnsi="Times New Roman" w:cs="Times New Roman"/>
                <w:color w:val="000000"/>
                <w:sz w:val="24"/>
                <w:szCs w:val="24"/>
              </w:rPr>
              <w:t>Adj.-R</w:t>
            </w:r>
            <w:r w:rsidRPr="008B39E1">
              <w:rPr>
                <w:rFonts w:ascii="Times New Roman" w:eastAsia="Times New Roman" w:hAnsi="Times New Roman" w:cs="Times New Roman"/>
                <w:color w:val="000000"/>
                <w:sz w:val="24"/>
                <w:szCs w:val="24"/>
                <w:vertAlign w:val="superscript"/>
              </w:rPr>
              <w:t>2</w:t>
            </w:r>
          </w:p>
        </w:tc>
        <w:tc>
          <w:tcPr>
            <w:tcW w:w="1684" w:type="pct"/>
            <w:tcBorders>
              <w:top w:val="nil"/>
              <w:left w:val="nil"/>
              <w:bottom w:val="single" w:sz="4" w:space="0" w:color="auto"/>
              <w:right w:val="nil"/>
            </w:tcBorders>
            <w:vAlign w:val="center"/>
          </w:tcPr>
          <w:p w14:paraId="109B9A0C" w14:textId="7E4B942E" w:rsidR="001024B7" w:rsidRPr="008B39E1" w:rsidRDefault="00F65937" w:rsidP="000F0F5A">
            <w:pPr>
              <w:spacing w:after="0" w:line="240" w:lineRule="auto"/>
              <w:jc w:val="center"/>
              <w:rPr>
                <w:rFonts w:ascii="Times New Roman" w:hAnsi="Times New Roman" w:cs="Times New Roman"/>
                <w:color w:val="000000"/>
                <w:sz w:val="24"/>
                <w:szCs w:val="24"/>
              </w:rPr>
            </w:pPr>
            <w:r w:rsidRPr="008B39E1">
              <w:rPr>
                <w:rFonts w:ascii="Times New Roman" w:hAnsi="Times New Roman" w:cs="Times New Roman"/>
                <w:color w:val="000000"/>
                <w:sz w:val="24"/>
                <w:szCs w:val="24"/>
              </w:rPr>
              <w:t>0.213</w:t>
            </w:r>
          </w:p>
        </w:tc>
        <w:tc>
          <w:tcPr>
            <w:tcW w:w="1684" w:type="pct"/>
            <w:tcBorders>
              <w:top w:val="nil"/>
              <w:left w:val="nil"/>
              <w:bottom w:val="single" w:sz="4" w:space="0" w:color="auto"/>
              <w:right w:val="nil"/>
            </w:tcBorders>
            <w:shd w:val="clear" w:color="auto" w:fill="auto"/>
            <w:noWrap/>
            <w:vAlign w:val="center"/>
            <w:hideMark/>
          </w:tcPr>
          <w:p w14:paraId="38E8AA1F" w14:textId="7E61FFB4" w:rsidR="001024B7" w:rsidRPr="008B39E1" w:rsidRDefault="001024B7" w:rsidP="000F0F5A">
            <w:pPr>
              <w:spacing w:after="0" w:line="240" w:lineRule="auto"/>
              <w:jc w:val="center"/>
              <w:rPr>
                <w:rFonts w:ascii="Times New Roman" w:eastAsia="Times New Roman" w:hAnsi="Times New Roman" w:cs="Times New Roman"/>
                <w:color w:val="000000"/>
                <w:sz w:val="24"/>
                <w:szCs w:val="24"/>
              </w:rPr>
            </w:pPr>
            <w:r w:rsidRPr="008B39E1">
              <w:rPr>
                <w:rFonts w:ascii="Times New Roman" w:hAnsi="Times New Roman" w:cs="Times New Roman"/>
                <w:color w:val="000000"/>
                <w:sz w:val="24"/>
                <w:szCs w:val="24"/>
              </w:rPr>
              <w:t>0.213</w:t>
            </w:r>
          </w:p>
        </w:tc>
      </w:tr>
    </w:tbl>
    <w:p w14:paraId="3A69DEEA" w14:textId="77777777" w:rsidR="002D5D0D" w:rsidRPr="008B39E1" w:rsidRDefault="002D5D0D" w:rsidP="000F0F5A">
      <w:pPr>
        <w:spacing w:after="0" w:line="240" w:lineRule="auto"/>
        <w:rPr>
          <w:rFonts w:ascii="Times New Roman" w:hAnsi="Times New Roman" w:cs="Times New Roman"/>
          <w:sz w:val="24"/>
          <w:szCs w:val="24"/>
        </w:rPr>
      </w:pPr>
    </w:p>
    <w:p w14:paraId="0A99962C" w14:textId="03BD2DB4" w:rsidR="002D5D0D" w:rsidRPr="008B39E1" w:rsidRDefault="00FC3E8B" w:rsidP="000F0F5A">
      <w:pPr>
        <w:spacing w:after="0" w:line="240" w:lineRule="auto"/>
        <w:rPr>
          <w:rFonts w:ascii="Times New Roman" w:hAnsi="Times New Roman" w:cs="Times New Roman"/>
          <w:sz w:val="20"/>
          <w:szCs w:val="20"/>
        </w:rPr>
      </w:pPr>
      <w:r w:rsidRPr="008B39E1">
        <w:rPr>
          <w:rFonts w:ascii="Times New Roman" w:eastAsia="Times New Roman" w:hAnsi="Times New Roman" w:cs="Times New Roman"/>
          <w:color w:val="000000"/>
          <w:sz w:val="20"/>
          <w:szCs w:val="20"/>
        </w:rPr>
        <w:t>***, **, and * indicate significance at the 0.01, 0.05, and 0.10 levels, respectively, using two-tailed tests. Robust standard errors are clustered at the unique firm level. We present t-</w:t>
      </w:r>
      <w:proofErr w:type="gramStart"/>
      <w:r w:rsidRPr="008B39E1">
        <w:rPr>
          <w:rFonts w:ascii="Times New Roman" w:eastAsia="Times New Roman" w:hAnsi="Times New Roman" w:cs="Times New Roman"/>
          <w:color w:val="000000"/>
          <w:sz w:val="20"/>
          <w:szCs w:val="20"/>
        </w:rPr>
        <w:t>statistic</w:t>
      </w:r>
      <w:proofErr w:type="gramEnd"/>
      <w:r w:rsidRPr="008B39E1">
        <w:rPr>
          <w:rFonts w:ascii="Times New Roman" w:eastAsia="Times New Roman" w:hAnsi="Times New Roman" w:cs="Times New Roman"/>
          <w:color w:val="000000"/>
          <w:sz w:val="20"/>
          <w:szCs w:val="20"/>
        </w:rPr>
        <w:t xml:space="preserve"> in parentheses for each variable. See Appendix A for variable definitions.</w:t>
      </w:r>
      <w:r w:rsidR="002A5531">
        <w:rPr>
          <w:rFonts w:ascii="Times New Roman" w:eastAsia="Times New Roman" w:hAnsi="Times New Roman" w:cs="Times New Roman"/>
          <w:color w:val="000000"/>
          <w:sz w:val="20"/>
          <w:szCs w:val="20"/>
        </w:rPr>
        <w:t xml:space="preserve"> Source: Authors own work. </w:t>
      </w:r>
    </w:p>
    <w:p w14:paraId="6DD91D0B" w14:textId="53382161" w:rsidR="002D5D0D" w:rsidRPr="008B39E1" w:rsidRDefault="002D5D0D" w:rsidP="000F0F5A">
      <w:pPr>
        <w:spacing w:after="0" w:line="240" w:lineRule="auto"/>
        <w:jc w:val="center"/>
        <w:rPr>
          <w:rFonts w:ascii="Times New Roman" w:hAnsi="Times New Roman" w:cs="Times New Roman"/>
          <w:b/>
          <w:bCs/>
          <w:sz w:val="20"/>
          <w:szCs w:val="20"/>
        </w:rPr>
      </w:pPr>
    </w:p>
    <w:p w14:paraId="2B656C98" w14:textId="76CF78D1" w:rsidR="002D5D0D" w:rsidRPr="008B39E1" w:rsidRDefault="002D5D0D" w:rsidP="000F0F5A">
      <w:pPr>
        <w:spacing w:after="0" w:line="240" w:lineRule="auto"/>
        <w:jc w:val="center"/>
        <w:rPr>
          <w:rFonts w:ascii="Times New Roman" w:hAnsi="Times New Roman" w:cs="Times New Roman"/>
          <w:b/>
          <w:bCs/>
          <w:sz w:val="20"/>
          <w:szCs w:val="20"/>
        </w:rPr>
      </w:pPr>
    </w:p>
    <w:p w14:paraId="105AF2AC" w14:textId="4ECDDBDF" w:rsidR="00A62486" w:rsidRPr="008B39E1" w:rsidRDefault="00A62486" w:rsidP="000F0F5A">
      <w:pPr>
        <w:spacing w:line="240" w:lineRule="auto"/>
        <w:rPr>
          <w:rFonts w:ascii="Times New Roman" w:hAnsi="Times New Roman" w:cs="Times New Roman"/>
          <w:b/>
          <w:bCs/>
          <w:sz w:val="24"/>
          <w:szCs w:val="24"/>
        </w:rPr>
      </w:pPr>
      <w:r w:rsidRPr="008B39E1">
        <w:rPr>
          <w:rFonts w:ascii="Times New Roman" w:hAnsi="Times New Roman" w:cs="Times New Roman"/>
          <w:b/>
          <w:bCs/>
          <w:sz w:val="24"/>
          <w:szCs w:val="24"/>
        </w:rPr>
        <w:br w:type="page"/>
      </w:r>
    </w:p>
    <w:p w14:paraId="4A78DBCB" w14:textId="519E6CC8" w:rsidR="002D5D0D" w:rsidRPr="008B39E1" w:rsidRDefault="00DC55B9"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lastRenderedPageBreak/>
        <w:t>TABLE VII</w:t>
      </w:r>
    </w:p>
    <w:p w14:paraId="3A6B2324" w14:textId="6DC22DC6" w:rsidR="00A62486" w:rsidRPr="008B39E1" w:rsidRDefault="00775482" w:rsidP="000F0F5A">
      <w:pPr>
        <w:spacing w:after="0" w:line="240" w:lineRule="auto"/>
        <w:jc w:val="center"/>
        <w:rPr>
          <w:rFonts w:ascii="Times New Roman" w:hAnsi="Times New Roman" w:cs="Times New Roman"/>
          <w:b/>
          <w:bCs/>
          <w:sz w:val="24"/>
          <w:szCs w:val="24"/>
        </w:rPr>
      </w:pPr>
      <w:r w:rsidRPr="008B39E1">
        <w:rPr>
          <w:rFonts w:ascii="Times New Roman" w:hAnsi="Times New Roman" w:cs="Times New Roman"/>
          <w:b/>
          <w:bCs/>
          <w:sz w:val="24"/>
          <w:szCs w:val="24"/>
        </w:rPr>
        <w:t>Relocation Distance</w:t>
      </w:r>
    </w:p>
    <w:p w14:paraId="2744A3ED" w14:textId="77777777" w:rsidR="00775482" w:rsidRPr="008B39E1" w:rsidRDefault="00775482" w:rsidP="000F0F5A">
      <w:pPr>
        <w:spacing w:after="0" w:line="240" w:lineRule="auto"/>
        <w:rPr>
          <w:rFonts w:ascii="Times New Roman" w:hAnsi="Times New Roman" w:cs="Times New Roman"/>
          <w:b/>
          <w:bCs/>
          <w:sz w:val="24"/>
          <w:szCs w:val="24"/>
        </w:rPr>
      </w:pPr>
    </w:p>
    <w:p w14:paraId="1DE4B2D8" w14:textId="19073A4B" w:rsidR="0031745C" w:rsidRPr="008B39E1" w:rsidRDefault="0031745C"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Panel A: Relocation Distance </w:t>
      </w:r>
      <w:r w:rsidR="00985AD9" w:rsidRPr="008B39E1">
        <w:rPr>
          <w:rFonts w:ascii="Times New Roman" w:hAnsi="Times New Roman" w:cs="Times New Roman"/>
          <w:b/>
          <w:bCs/>
          <w:sz w:val="24"/>
          <w:szCs w:val="24"/>
        </w:rPr>
        <w:t xml:space="preserve">Less Than </w:t>
      </w:r>
      <w:r w:rsidRPr="008B39E1">
        <w:rPr>
          <w:rFonts w:ascii="Times New Roman" w:hAnsi="Times New Roman" w:cs="Times New Roman"/>
          <w:b/>
          <w:bCs/>
          <w:sz w:val="24"/>
          <w:szCs w:val="24"/>
        </w:rPr>
        <w:t xml:space="preserve">50 </w:t>
      </w:r>
      <w:r w:rsidR="00985AD9" w:rsidRPr="008B39E1">
        <w:rPr>
          <w:rFonts w:ascii="Times New Roman" w:hAnsi="Times New Roman" w:cs="Times New Roman"/>
          <w:b/>
          <w:bCs/>
          <w:sz w:val="24"/>
          <w:szCs w:val="24"/>
        </w:rPr>
        <w:t>M</w:t>
      </w:r>
      <w:r w:rsidRPr="008B39E1">
        <w:rPr>
          <w:rFonts w:ascii="Times New Roman" w:hAnsi="Times New Roman" w:cs="Times New Roman"/>
          <w:b/>
          <w:bCs/>
          <w:sz w:val="24"/>
          <w:szCs w:val="24"/>
        </w:rPr>
        <w:t>iles</w:t>
      </w:r>
    </w:p>
    <w:p w14:paraId="1FF1B8BE" w14:textId="77777777" w:rsidR="00D739C6" w:rsidRPr="008B39E1" w:rsidRDefault="00D739C6" w:rsidP="000F0F5A">
      <w:pPr>
        <w:spacing w:after="0" w:line="240" w:lineRule="auto"/>
        <w:rPr>
          <w:rFonts w:ascii="Times New Roman" w:hAnsi="Times New Roman" w:cs="Times New Roman"/>
          <w:b/>
          <w:bCs/>
          <w:sz w:val="24"/>
          <w:szCs w:val="24"/>
        </w:rPr>
      </w:pPr>
    </w:p>
    <w:tbl>
      <w:tblPr>
        <w:tblW w:w="5000" w:type="pct"/>
        <w:tblLayout w:type="fixed"/>
        <w:tblLook w:val="04A0" w:firstRow="1" w:lastRow="0" w:firstColumn="1" w:lastColumn="0" w:noHBand="0" w:noVBand="1"/>
      </w:tblPr>
      <w:tblGrid>
        <w:gridCol w:w="2977"/>
        <w:gridCol w:w="272"/>
        <w:gridCol w:w="1019"/>
        <w:gridCol w:w="1018"/>
        <w:gridCol w:w="1020"/>
        <w:gridCol w:w="1018"/>
        <w:gridCol w:w="1018"/>
        <w:gridCol w:w="1018"/>
      </w:tblGrid>
      <w:tr w:rsidR="00D739C6" w:rsidRPr="008B39E1" w14:paraId="495C09E3" w14:textId="77777777" w:rsidTr="00702126">
        <w:trPr>
          <w:trHeight w:val="315"/>
        </w:trPr>
        <w:tc>
          <w:tcPr>
            <w:tcW w:w="1590" w:type="pct"/>
            <w:tcBorders>
              <w:top w:val="nil"/>
              <w:left w:val="nil"/>
              <w:bottom w:val="nil"/>
              <w:right w:val="nil"/>
            </w:tcBorders>
            <w:shd w:val="clear" w:color="auto" w:fill="auto"/>
            <w:noWrap/>
            <w:vAlign w:val="bottom"/>
            <w:hideMark/>
          </w:tcPr>
          <w:p w14:paraId="33317ACB" w14:textId="77777777" w:rsidR="00D739C6" w:rsidRPr="008B39E1" w:rsidRDefault="00D739C6" w:rsidP="000F0F5A">
            <w:pPr>
              <w:spacing w:after="0" w:line="240" w:lineRule="auto"/>
              <w:ind w:firstLineChars="100" w:firstLine="200"/>
              <w:rPr>
                <w:rFonts w:ascii="Times New Roman" w:eastAsia="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hideMark/>
          </w:tcPr>
          <w:p w14:paraId="0C40859B" w14:textId="77777777" w:rsidR="00D739C6" w:rsidRPr="008B39E1" w:rsidRDefault="00D739C6" w:rsidP="000F0F5A">
            <w:pPr>
              <w:spacing w:after="0" w:line="240" w:lineRule="auto"/>
              <w:ind w:firstLineChars="100" w:firstLine="200"/>
              <w:rPr>
                <w:rFonts w:ascii="Times New Roman" w:eastAsia="Times New Roman" w:hAnsi="Times New Roman" w:cs="Times New Roman"/>
                <w:color w:val="000000"/>
                <w:sz w:val="20"/>
                <w:szCs w:val="20"/>
              </w:rPr>
            </w:pPr>
          </w:p>
        </w:tc>
        <w:tc>
          <w:tcPr>
            <w:tcW w:w="3264" w:type="pct"/>
            <w:gridSpan w:val="6"/>
            <w:tcBorders>
              <w:top w:val="nil"/>
              <w:left w:val="nil"/>
              <w:bottom w:val="single" w:sz="4" w:space="0" w:color="auto"/>
              <w:right w:val="nil"/>
            </w:tcBorders>
            <w:shd w:val="clear" w:color="auto" w:fill="auto"/>
          </w:tcPr>
          <w:p w14:paraId="22524634" w14:textId="77777777" w:rsidR="00D739C6" w:rsidRPr="008B39E1" w:rsidRDefault="00D739C6" w:rsidP="000F0F5A">
            <w:pPr>
              <w:spacing w:after="0" w:line="240" w:lineRule="auto"/>
              <w:jc w:val="center"/>
              <w:rPr>
                <w:rFonts w:ascii="Times New Roman" w:eastAsia="Times New Roman" w:hAnsi="Times New Roman" w:cs="Times New Roman"/>
                <w:i/>
                <w:iCs/>
                <w:color w:val="000000"/>
                <w:sz w:val="20"/>
                <w:szCs w:val="20"/>
              </w:rPr>
            </w:pPr>
            <w:r w:rsidRPr="008B39E1">
              <w:rPr>
                <w:rFonts w:ascii="Times New Roman" w:eastAsia="Times New Roman" w:hAnsi="Times New Roman" w:cs="Times New Roman"/>
                <w:i/>
                <w:iCs/>
                <w:color w:val="000000"/>
                <w:sz w:val="20"/>
                <w:szCs w:val="20"/>
              </w:rPr>
              <w:t xml:space="preserve">Dependent Variable: </w:t>
            </w:r>
            <w:proofErr w:type="spellStart"/>
            <w:r w:rsidRPr="008B39E1">
              <w:rPr>
                <w:rFonts w:ascii="Times New Roman" w:eastAsia="Times New Roman" w:hAnsi="Times New Roman" w:cs="Times New Roman"/>
                <w:i/>
                <w:iCs/>
                <w:color w:val="000000"/>
                <w:sz w:val="20"/>
                <w:szCs w:val="20"/>
              </w:rPr>
              <w:t>ICINEFF</w:t>
            </w:r>
            <w:proofErr w:type="spellEnd"/>
          </w:p>
        </w:tc>
      </w:tr>
      <w:tr w:rsidR="001E775E" w:rsidRPr="008B39E1" w14:paraId="771BA2B6" w14:textId="77777777" w:rsidTr="001E775E">
        <w:trPr>
          <w:trHeight w:val="315"/>
        </w:trPr>
        <w:tc>
          <w:tcPr>
            <w:tcW w:w="1590" w:type="pct"/>
            <w:tcBorders>
              <w:top w:val="nil"/>
              <w:left w:val="nil"/>
              <w:bottom w:val="single" w:sz="4" w:space="0" w:color="auto"/>
              <w:right w:val="nil"/>
            </w:tcBorders>
            <w:shd w:val="clear" w:color="auto" w:fill="auto"/>
            <w:noWrap/>
            <w:vAlign w:val="bottom"/>
          </w:tcPr>
          <w:p w14:paraId="40E34504"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69DB8DE1"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1088" w:type="pct"/>
            <w:gridSpan w:val="2"/>
            <w:tcBorders>
              <w:top w:val="nil"/>
              <w:left w:val="nil"/>
              <w:bottom w:val="single" w:sz="4" w:space="0" w:color="auto"/>
              <w:right w:val="nil"/>
            </w:tcBorders>
            <w:shd w:val="clear" w:color="auto" w:fill="auto"/>
            <w:noWrap/>
          </w:tcPr>
          <w:p w14:paraId="5204BCC4" w14:textId="5663E4C1" w:rsidR="001E775E" w:rsidRPr="008B39E1" w:rsidRDefault="001E775E" w:rsidP="000F0F5A">
            <w:pPr>
              <w:spacing w:after="0" w:line="240" w:lineRule="auto"/>
              <w:jc w:val="center"/>
              <w:rPr>
                <w:rFonts w:ascii="Times New Roman" w:eastAsia="Times New Roman" w:hAnsi="Times New Roman" w:cs="Times New Roman"/>
                <w:b/>
                <w:bCs/>
                <w:color w:val="000000"/>
                <w:sz w:val="20"/>
                <w:szCs w:val="20"/>
              </w:rPr>
            </w:pPr>
            <w:r w:rsidRPr="008B39E1">
              <w:rPr>
                <w:rFonts w:ascii="Times New Roman" w:eastAsia="Times New Roman" w:hAnsi="Times New Roman" w:cs="Times New Roman"/>
                <w:color w:val="000000"/>
                <w:sz w:val="20"/>
                <w:szCs w:val="20"/>
              </w:rPr>
              <w:t>Change in social capital</w:t>
            </w:r>
          </w:p>
        </w:tc>
        <w:tc>
          <w:tcPr>
            <w:tcW w:w="1089" w:type="pct"/>
            <w:gridSpan w:val="2"/>
            <w:tcBorders>
              <w:top w:val="nil"/>
              <w:left w:val="nil"/>
              <w:bottom w:val="single" w:sz="4" w:space="0" w:color="auto"/>
              <w:right w:val="nil"/>
            </w:tcBorders>
          </w:tcPr>
          <w:p w14:paraId="66112C28" w14:textId="514B9B3A"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Norms</w:t>
            </w:r>
          </w:p>
        </w:tc>
        <w:tc>
          <w:tcPr>
            <w:tcW w:w="1088" w:type="pct"/>
            <w:gridSpan w:val="2"/>
            <w:tcBorders>
              <w:top w:val="nil"/>
              <w:left w:val="nil"/>
              <w:bottom w:val="single" w:sz="4" w:space="0" w:color="auto"/>
              <w:right w:val="nil"/>
            </w:tcBorders>
          </w:tcPr>
          <w:p w14:paraId="6716F757" w14:textId="2A38931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Network</w:t>
            </w:r>
            <w:r w:rsidR="003C11F0" w:rsidRPr="008B39E1">
              <w:rPr>
                <w:rFonts w:ascii="Times New Roman" w:eastAsia="Times New Roman" w:hAnsi="Times New Roman" w:cs="Times New Roman"/>
                <w:color w:val="000000"/>
                <w:sz w:val="20"/>
                <w:szCs w:val="20"/>
              </w:rPr>
              <w:t>s</w:t>
            </w:r>
          </w:p>
        </w:tc>
      </w:tr>
      <w:tr w:rsidR="001E775E" w:rsidRPr="008B39E1" w14:paraId="1C40020B" w14:textId="77777777" w:rsidTr="00702126">
        <w:trPr>
          <w:trHeight w:val="315"/>
        </w:trPr>
        <w:tc>
          <w:tcPr>
            <w:tcW w:w="1590" w:type="pct"/>
            <w:tcBorders>
              <w:top w:val="nil"/>
              <w:left w:val="nil"/>
              <w:bottom w:val="single" w:sz="4" w:space="0" w:color="auto"/>
              <w:right w:val="nil"/>
            </w:tcBorders>
            <w:shd w:val="clear" w:color="auto" w:fill="auto"/>
            <w:noWrap/>
            <w:vAlign w:val="bottom"/>
          </w:tcPr>
          <w:p w14:paraId="6AF430DD"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3503819A"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single" w:sz="4" w:space="0" w:color="auto"/>
              <w:right w:val="nil"/>
            </w:tcBorders>
            <w:shd w:val="clear" w:color="auto" w:fill="auto"/>
            <w:noWrap/>
          </w:tcPr>
          <w:p w14:paraId="628FB966"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(1)</w:t>
            </w:r>
          </w:p>
        </w:tc>
        <w:tc>
          <w:tcPr>
            <w:tcW w:w="544" w:type="pct"/>
            <w:tcBorders>
              <w:top w:val="nil"/>
              <w:left w:val="nil"/>
              <w:bottom w:val="single" w:sz="4" w:space="0" w:color="auto"/>
              <w:right w:val="nil"/>
            </w:tcBorders>
          </w:tcPr>
          <w:p w14:paraId="3EC870B2"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(2)</w:t>
            </w:r>
          </w:p>
        </w:tc>
        <w:tc>
          <w:tcPr>
            <w:tcW w:w="545" w:type="pct"/>
            <w:tcBorders>
              <w:top w:val="nil"/>
              <w:left w:val="nil"/>
              <w:bottom w:val="single" w:sz="4" w:space="0" w:color="auto"/>
              <w:right w:val="nil"/>
            </w:tcBorders>
          </w:tcPr>
          <w:p w14:paraId="2A98330F"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(3)</w:t>
            </w:r>
          </w:p>
        </w:tc>
        <w:tc>
          <w:tcPr>
            <w:tcW w:w="544" w:type="pct"/>
            <w:tcBorders>
              <w:top w:val="nil"/>
              <w:left w:val="nil"/>
              <w:bottom w:val="single" w:sz="4" w:space="0" w:color="auto"/>
              <w:right w:val="nil"/>
            </w:tcBorders>
          </w:tcPr>
          <w:p w14:paraId="2BEB8A7C"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(4)</w:t>
            </w:r>
          </w:p>
        </w:tc>
        <w:tc>
          <w:tcPr>
            <w:tcW w:w="544" w:type="pct"/>
            <w:tcBorders>
              <w:top w:val="nil"/>
              <w:left w:val="nil"/>
              <w:bottom w:val="single" w:sz="4" w:space="0" w:color="auto"/>
              <w:right w:val="nil"/>
            </w:tcBorders>
          </w:tcPr>
          <w:p w14:paraId="062C8E31"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(5)</w:t>
            </w:r>
          </w:p>
        </w:tc>
        <w:tc>
          <w:tcPr>
            <w:tcW w:w="544" w:type="pct"/>
            <w:tcBorders>
              <w:top w:val="nil"/>
              <w:left w:val="nil"/>
              <w:bottom w:val="single" w:sz="4" w:space="0" w:color="auto"/>
              <w:right w:val="nil"/>
            </w:tcBorders>
          </w:tcPr>
          <w:p w14:paraId="7657AACA"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(6)</w:t>
            </w:r>
          </w:p>
        </w:tc>
      </w:tr>
      <w:tr w:rsidR="001E775E" w:rsidRPr="008B39E1" w14:paraId="36BF4DED" w14:textId="77777777" w:rsidTr="00702126">
        <w:trPr>
          <w:trHeight w:val="315"/>
        </w:trPr>
        <w:tc>
          <w:tcPr>
            <w:tcW w:w="1590" w:type="pct"/>
            <w:tcBorders>
              <w:top w:val="nil"/>
              <w:left w:val="nil"/>
              <w:bottom w:val="single" w:sz="4" w:space="0" w:color="auto"/>
              <w:right w:val="nil"/>
            </w:tcBorders>
            <w:shd w:val="clear" w:color="auto" w:fill="auto"/>
            <w:noWrap/>
            <w:vAlign w:val="bottom"/>
          </w:tcPr>
          <w:p w14:paraId="5E9B20CF"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0046839D"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single" w:sz="4" w:space="0" w:color="auto"/>
              <w:right w:val="nil"/>
            </w:tcBorders>
            <w:shd w:val="clear" w:color="auto" w:fill="auto"/>
            <w:noWrap/>
          </w:tcPr>
          <w:p w14:paraId="2C33CC6B"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5A35E90E"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613AB18C"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23BA448B"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5" w:type="pct"/>
            <w:tcBorders>
              <w:top w:val="nil"/>
              <w:left w:val="nil"/>
              <w:bottom w:val="single" w:sz="4" w:space="0" w:color="auto"/>
              <w:right w:val="nil"/>
            </w:tcBorders>
          </w:tcPr>
          <w:p w14:paraId="3BE44590"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3F4D8093"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1B4A6A63"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10E0096C"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7DD62336"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1B11CA8D"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1494477C"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178725BC"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r>
      <w:tr w:rsidR="001E775E" w:rsidRPr="008B39E1" w14:paraId="4029450D" w14:textId="77777777" w:rsidTr="00702126">
        <w:trPr>
          <w:trHeight w:val="135"/>
        </w:trPr>
        <w:tc>
          <w:tcPr>
            <w:tcW w:w="1590" w:type="pct"/>
            <w:tcBorders>
              <w:top w:val="nil"/>
              <w:left w:val="nil"/>
              <w:bottom w:val="nil"/>
              <w:right w:val="nil"/>
            </w:tcBorders>
            <w:shd w:val="clear" w:color="auto" w:fill="auto"/>
            <w:noWrap/>
            <w:vAlign w:val="bottom"/>
            <w:hideMark/>
          </w:tcPr>
          <w:p w14:paraId="641D5284"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nil"/>
              <w:right w:val="nil"/>
            </w:tcBorders>
            <w:shd w:val="clear" w:color="auto" w:fill="auto"/>
            <w:noWrap/>
            <w:vAlign w:val="bottom"/>
            <w:hideMark/>
          </w:tcPr>
          <w:p w14:paraId="53F36E7D"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hideMark/>
          </w:tcPr>
          <w:p w14:paraId="3CE297C3"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5BE4F253"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5" w:type="pct"/>
            <w:tcBorders>
              <w:top w:val="nil"/>
              <w:left w:val="nil"/>
              <w:bottom w:val="nil"/>
              <w:right w:val="nil"/>
            </w:tcBorders>
          </w:tcPr>
          <w:p w14:paraId="793135DD"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6FEC45B6"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563B3CA5"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39926494" w14:textId="77777777" w:rsidR="001E775E" w:rsidRPr="008B39E1" w:rsidRDefault="001E775E" w:rsidP="000F0F5A">
            <w:pPr>
              <w:spacing w:after="0" w:line="240" w:lineRule="auto"/>
              <w:rPr>
                <w:rFonts w:ascii="Times New Roman" w:eastAsia="Times New Roman" w:hAnsi="Times New Roman" w:cs="Times New Roman"/>
                <w:sz w:val="20"/>
                <w:szCs w:val="20"/>
              </w:rPr>
            </w:pPr>
          </w:p>
        </w:tc>
      </w:tr>
      <w:tr w:rsidR="001E775E" w:rsidRPr="008B39E1" w14:paraId="5693EF2B" w14:textId="77777777" w:rsidTr="00702126">
        <w:trPr>
          <w:trHeight w:val="315"/>
        </w:trPr>
        <w:tc>
          <w:tcPr>
            <w:tcW w:w="1590" w:type="pct"/>
            <w:tcBorders>
              <w:top w:val="nil"/>
              <w:left w:val="nil"/>
              <w:bottom w:val="nil"/>
              <w:right w:val="nil"/>
            </w:tcBorders>
            <w:shd w:val="clear" w:color="auto" w:fill="auto"/>
            <w:noWrap/>
            <w:vAlign w:val="bottom"/>
            <w:hideMark/>
          </w:tcPr>
          <w:p w14:paraId="0A4AE1E9" w14:textId="13574C30" w:rsidR="001E775E" w:rsidRPr="008B39E1" w:rsidRDefault="001E775E" w:rsidP="000F0F5A">
            <w:pPr>
              <w:spacing w:after="0" w:line="240" w:lineRule="auto"/>
              <w:rPr>
                <w:rFonts w:ascii="Times New Roman" w:eastAsia="Times New Roman" w:hAnsi="Times New Roman" w:cs="Times New Roman"/>
                <w:i/>
                <w:iCs/>
                <w:color w:val="000000"/>
                <w:sz w:val="20"/>
                <w:szCs w:val="20"/>
              </w:rPr>
            </w:pPr>
            <w:proofErr w:type="spellStart"/>
            <w:r w:rsidRPr="008B39E1">
              <w:rPr>
                <w:rFonts w:ascii="Times New Roman" w:hAnsi="Times New Roman" w:cs="Times New Roman"/>
                <w:i/>
                <w:iCs/>
                <w:color w:val="000000"/>
                <w:sz w:val="20"/>
                <w:szCs w:val="20"/>
              </w:rPr>
              <w:t>POSTxRELOCATExCHSC</w:t>
            </w:r>
            <w:proofErr w:type="spellEnd"/>
          </w:p>
        </w:tc>
        <w:tc>
          <w:tcPr>
            <w:tcW w:w="145" w:type="pct"/>
            <w:tcBorders>
              <w:top w:val="nil"/>
              <w:left w:val="nil"/>
              <w:bottom w:val="nil"/>
              <w:right w:val="nil"/>
            </w:tcBorders>
            <w:shd w:val="clear" w:color="auto" w:fill="auto"/>
            <w:noWrap/>
            <w:vAlign w:val="bottom"/>
            <w:hideMark/>
          </w:tcPr>
          <w:p w14:paraId="75C9677B"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nil"/>
              <w:right w:val="nil"/>
            </w:tcBorders>
            <w:shd w:val="clear" w:color="auto" w:fill="auto"/>
            <w:noWrap/>
            <w:vAlign w:val="bottom"/>
            <w:hideMark/>
          </w:tcPr>
          <w:p w14:paraId="4A93D098" w14:textId="7B1BA344" w:rsidR="001E775E" w:rsidRPr="008B39E1" w:rsidRDefault="001E775E" w:rsidP="000F0F5A">
            <w:pPr>
              <w:spacing w:after="0" w:line="240" w:lineRule="auto"/>
              <w:jc w:val="center"/>
              <w:rPr>
                <w:rFonts w:ascii="Times New Roman" w:eastAsia="Times New Roman" w:hAnsi="Times New Roman" w:cs="Times New Roman"/>
                <w:sz w:val="20"/>
                <w:szCs w:val="20"/>
              </w:rPr>
            </w:pPr>
            <w:r w:rsidRPr="008B39E1">
              <w:rPr>
                <w:rFonts w:ascii="Times New Roman" w:hAnsi="Times New Roman" w:cs="Times New Roman"/>
                <w:color w:val="000000"/>
                <w:sz w:val="20"/>
                <w:szCs w:val="20"/>
              </w:rPr>
              <w:t>0.024</w:t>
            </w:r>
          </w:p>
        </w:tc>
        <w:tc>
          <w:tcPr>
            <w:tcW w:w="544" w:type="pct"/>
            <w:tcBorders>
              <w:top w:val="nil"/>
              <w:left w:val="nil"/>
              <w:bottom w:val="nil"/>
              <w:right w:val="nil"/>
            </w:tcBorders>
            <w:vAlign w:val="bottom"/>
          </w:tcPr>
          <w:p w14:paraId="23B63B40"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vAlign w:val="bottom"/>
          </w:tcPr>
          <w:p w14:paraId="210BCC89"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5CB265C8"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42F78478"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2CA1CF21"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r>
      <w:tr w:rsidR="001E775E" w:rsidRPr="008B39E1" w14:paraId="609B6191" w14:textId="77777777" w:rsidTr="00702126">
        <w:trPr>
          <w:trHeight w:val="315"/>
        </w:trPr>
        <w:tc>
          <w:tcPr>
            <w:tcW w:w="1590" w:type="pct"/>
            <w:tcBorders>
              <w:top w:val="nil"/>
              <w:left w:val="nil"/>
              <w:bottom w:val="nil"/>
              <w:right w:val="nil"/>
            </w:tcBorders>
            <w:shd w:val="clear" w:color="auto" w:fill="auto"/>
            <w:noWrap/>
            <w:vAlign w:val="bottom"/>
            <w:hideMark/>
          </w:tcPr>
          <w:p w14:paraId="044B17B8" w14:textId="77777777" w:rsidR="001E775E" w:rsidRPr="008B39E1" w:rsidRDefault="001E775E" w:rsidP="000F0F5A">
            <w:pPr>
              <w:spacing w:after="0" w:line="240" w:lineRule="auto"/>
              <w:rPr>
                <w:rFonts w:ascii="Times New Roman" w:eastAsia="Times New Roman" w:hAnsi="Times New Roman" w:cs="Times New Roman"/>
                <w:i/>
                <w:iCs/>
                <w:sz w:val="20"/>
                <w:szCs w:val="20"/>
              </w:rPr>
            </w:pPr>
          </w:p>
        </w:tc>
        <w:tc>
          <w:tcPr>
            <w:tcW w:w="145" w:type="pct"/>
            <w:tcBorders>
              <w:top w:val="nil"/>
              <w:left w:val="nil"/>
              <w:bottom w:val="nil"/>
              <w:right w:val="nil"/>
            </w:tcBorders>
            <w:shd w:val="clear" w:color="auto" w:fill="auto"/>
            <w:noWrap/>
            <w:vAlign w:val="bottom"/>
            <w:hideMark/>
          </w:tcPr>
          <w:p w14:paraId="4FD9B22D"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hideMark/>
          </w:tcPr>
          <w:p w14:paraId="6D955B5C" w14:textId="0D5F0824" w:rsidR="001E775E" w:rsidRPr="008B39E1" w:rsidRDefault="001E775E" w:rsidP="000F0F5A">
            <w:pPr>
              <w:spacing w:after="0" w:line="240" w:lineRule="auto"/>
              <w:jc w:val="center"/>
              <w:rPr>
                <w:rFonts w:ascii="Times New Roman" w:eastAsia="Times New Roman" w:hAnsi="Times New Roman" w:cs="Times New Roman"/>
                <w:sz w:val="20"/>
                <w:szCs w:val="20"/>
              </w:rPr>
            </w:pPr>
            <w:r w:rsidRPr="008B39E1">
              <w:rPr>
                <w:rFonts w:ascii="Times New Roman" w:hAnsi="Times New Roman" w:cs="Times New Roman"/>
                <w:color w:val="000000"/>
                <w:sz w:val="20"/>
                <w:szCs w:val="20"/>
              </w:rPr>
              <w:t>(0.993)</w:t>
            </w:r>
          </w:p>
        </w:tc>
        <w:tc>
          <w:tcPr>
            <w:tcW w:w="544" w:type="pct"/>
            <w:tcBorders>
              <w:top w:val="nil"/>
              <w:left w:val="nil"/>
              <w:bottom w:val="nil"/>
              <w:right w:val="nil"/>
            </w:tcBorders>
            <w:vAlign w:val="bottom"/>
          </w:tcPr>
          <w:p w14:paraId="15DED1A9"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vAlign w:val="bottom"/>
          </w:tcPr>
          <w:p w14:paraId="201DEFFA"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378C0A69"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127827A7"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2695EC6A"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r>
      <w:tr w:rsidR="001E775E" w:rsidRPr="008B39E1" w14:paraId="540D1F9B" w14:textId="77777777" w:rsidTr="00702126">
        <w:trPr>
          <w:trHeight w:val="315"/>
        </w:trPr>
        <w:tc>
          <w:tcPr>
            <w:tcW w:w="1590" w:type="pct"/>
            <w:tcBorders>
              <w:top w:val="nil"/>
              <w:left w:val="nil"/>
              <w:bottom w:val="nil"/>
              <w:right w:val="nil"/>
            </w:tcBorders>
            <w:shd w:val="clear" w:color="auto" w:fill="auto"/>
            <w:noWrap/>
            <w:vAlign w:val="bottom"/>
            <w:hideMark/>
          </w:tcPr>
          <w:p w14:paraId="43FAE752" w14:textId="17127E72" w:rsidR="001E775E" w:rsidRPr="008B39E1" w:rsidRDefault="001E775E" w:rsidP="000F0F5A">
            <w:pPr>
              <w:spacing w:after="0" w:line="240" w:lineRule="auto"/>
              <w:rPr>
                <w:rFonts w:ascii="Times New Roman" w:eastAsia="Times New Roman" w:hAnsi="Times New Roman" w:cs="Times New Roman"/>
                <w:i/>
                <w:iCs/>
                <w:color w:val="000000"/>
                <w:sz w:val="20"/>
                <w:szCs w:val="20"/>
              </w:rPr>
            </w:pPr>
            <w:proofErr w:type="spellStart"/>
            <w:r w:rsidRPr="008B39E1">
              <w:rPr>
                <w:rFonts w:ascii="Times New Roman" w:hAnsi="Times New Roman" w:cs="Times New Roman"/>
                <w:i/>
                <w:iCs/>
                <w:color w:val="000000"/>
                <w:sz w:val="20"/>
                <w:szCs w:val="20"/>
              </w:rPr>
              <w:t>POSTxRELOCATExCHSCraw</w:t>
            </w:r>
            <w:proofErr w:type="spellEnd"/>
          </w:p>
        </w:tc>
        <w:tc>
          <w:tcPr>
            <w:tcW w:w="145" w:type="pct"/>
            <w:tcBorders>
              <w:top w:val="nil"/>
              <w:left w:val="nil"/>
              <w:bottom w:val="nil"/>
              <w:right w:val="nil"/>
            </w:tcBorders>
            <w:shd w:val="clear" w:color="auto" w:fill="auto"/>
            <w:noWrap/>
            <w:vAlign w:val="bottom"/>
            <w:hideMark/>
          </w:tcPr>
          <w:p w14:paraId="0B8900FF"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nil"/>
              <w:right w:val="nil"/>
            </w:tcBorders>
            <w:shd w:val="clear" w:color="auto" w:fill="auto"/>
            <w:noWrap/>
            <w:vAlign w:val="bottom"/>
            <w:hideMark/>
          </w:tcPr>
          <w:p w14:paraId="21F7DFB3" w14:textId="77777777" w:rsidR="001E775E" w:rsidRPr="008B39E1" w:rsidRDefault="001E775E" w:rsidP="000F0F5A">
            <w:pPr>
              <w:spacing w:after="0" w:line="240" w:lineRule="auto"/>
              <w:jc w:val="center"/>
              <w:rPr>
                <w:rFonts w:ascii="Times New Roman" w:eastAsia="Times New Roman" w:hAnsi="Times New Roman" w:cs="Times New Roman"/>
                <w:b/>
                <w:bCs/>
                <w:color w:val="000000"/>
                <w:sz w:val="20"/>
                <w:szCs w:val="20"/>
              </w:rPr>
            </w:pPr>
          </w:p>
        </w:tc>
        <w:tc>
          <w:tcPr>
            <w:tcW w:w="544" w:type="pct"/>
            <w:tcBorders>
              <w:top w:val="nil"/>
              <w:left w:val="nil"/>
              <w:bottom w:val="nil"/>
              <w:right w:val="nil"/>
            </w:tcBorders>
            <w:vAlign w:val="bottom"/>
          </w:tcPr>
          <w:p w14:paraId="3D4D9E2F" w14:textId="43E37590"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0.002</w:t>
            </w:r>
          </w:p>
        </w:tc>
        <w:tc>
          <w:tcPr>
            <w:tcW w:w="545" w:type="pct"/>
            <w:tcBorders>
              <w:top w:val="nil"/>
              <w:left w:val="nil"/>
              <w:bottom w:val="nil"/>
              <w:right w:val="nil"/>
            </w:tcBorders>
            <w:vAlign w:val="bottom"/>
          </w:tcPr>
          <w:p w14:paraId="65BA47D7"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662E9FC"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BB72B16"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CFCA9DC"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r>
      <w:tr w:rsidR="001E775E" w:rsidRPr="008B39E1" w14:paraId="20690AFE" w14:textId="77777777" w:rsidTr="00702126">
        <w:trPr>
          <w:trHeight w:val="315"/>
        </w:trPr>
        <w:tc>
          <w:tcPr>
            <w:tcW w:w="1590" w:type="pct"/>
            <w:tcBorders>
              <w:top w:val="nil"/>
              <w:left w:val="nil"/>
              <w:bottom w:val="nil"/>
              <w:right w:val="nil"/>
            </w:tcBorders>
            <w:shd w:val="clear" w:color="auto" w:fill="auto"/>
            <w:noWrap/>
            <w:vAlign w:val="bottom"/>
            <w:hideMark/>
          </w:tcPr>
          <w:p w14:paraId="1682707A" w14:textId="77777777" w:rsidR="001E775E" w:rsidRPr="008B39E1" w:rsidRDefault="001E775E"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hideMark/>
          </w:tcPr>
          <w:p w14:paraId="2521B2C4"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hideMark/>
          </w:tcPr>
          <w:p w14:paraId="18D3D6C2" w14:textId="77777777" w:rsidR="001E775E" w:rsidRPr="008B39E1" w:rsidRDefault="001E775E" w:rsidP="000F0F5A">
            <w:pPr>
              <w:spacing w:after="0" w:line="240" w:lineRule="auto"/>
              <w:jc w:val="center"/>
              <w:rPr>
                <w:rFonts w:ascii="Times New Roman" w:eastAsia="Times New Roman" w:hAnsi="Times New Roman" w:cs="Times New Roman"/>
                <w:sz w:val="20"/>
                <w:szCs w:val="20"/>
              </w:rPr>
            </w:pPr>
          </w:p>
        </w:tc>
        <w:tc>
          <w:tcPr>
            <w:tcW w:w="544" w:type="pct"/>
            <w:tcBorders>
              <w:top w:val="nil"/>
              <w:left w:val="nil"/>
              <w:bottom w:val="nil"/>
              <w:right w:val="nil"/>
            </w:tcBorders>
            <w:vAlign w:val="bottom"/>
          </w:tcPr>
          <w:p w14:paraId="11E283E1" w14:textId="1AD4A65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(0.118)</w:t>
            </w:r>
          </w:p>
        </w:tc>
        <w:tc>
          <w:tcPr>
            <w:tcW w:w="545" w:type="pct"/>
            <w:tcBorders>
              <w:top w:val="nil"/>
              <w:left w:val="nil"/>
              <w:bottom w:val="nil"/>
              <w:right w:val="nil"/>
            </w:tcBorders>
            <w:vAlign w:val="bottom"/>
          </w:tcPr>
          <w:p w14:paraId="39EA1971"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4DEE18F"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5801F29"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F385D89"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r>
      <w:tr w:rsidR="001E775E" w:rsidRPr="008B39E1" w14:paraId="1FA0B54A" w14:textId="77777777" w:rsidTr="00702126">
        <w:trPr>
          <w:trHeight w:val="315"/>
        </w:trPr>
        <w:tc>
          <w:tcPr>
            <w:tcW w:w="1590" w:type="pct"/>
            <w:tcBorders>
              <w:top w:val="nil"/>
              <w:left w:val="nil"/>
              <w:bottom w:val="nil"/>
              <w:right w:val="nil"/>
            </w:tcBorders>
            <w:shd w:val="clear" w:color="auto" w:fill="auto"/>
            <w:noWrap/>
            <w:vAlign w:val="bottom"/>
          </w:tcPr>
          <w:p w14:paraId="78D76AEB" w14:textId="3B8986F3" w:rsidR="001E775E" w:rsidRPr="008B39E1" w:rsidRDefault="001E775E"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POSTxRELOCATExCHNORMS</w:t>
            </w:r>
            <w:proofErr w:type="spellEnd"/>
          </w:p>
        </w:tc>
        <w:tc>
          <w:tcPr>
            <w:tcW w:w="145" w:type="pct"/>
            <w:tcBorders>
              <w:top w:val="nil"/>
              <w:left w:val="nil"/>
              <w:bottom w:val="nil"/>
              <w:right w:val="nil"/>
            </w:tcBorders>
            <w:shd w:val="clear" w:color="auto" w:fill="auto"/>
            <w:noWrap/>
            <w:vAlign w:val="bottom"/>
          </w:tcPr>
          <w:p w14:paraId="7B2D9F7F"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04CBB28"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AB4B64A"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41C1F6AC" w14:textId="30B0E2A5"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0.022</w:t>
            </w:r>
          </w:p>
        </w:tc>
        <w:tc>
          <w:tcPr>
            <w:tcW w:w="544" w:type="pct"/>
            <w:tcBorders>
              <w:top w:val="nil"/>
              <w:left w:val="nil"/>
              <w:bottom w:val="nil"/>
              <w:right w:val="nil"/>
            </w:tcBorders>
            <w:vAlign w:val="bottom"/>
          </w:tcPr>
          <w:p w14:paraId="4920EA64"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ECCEA3A"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6427C20"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r>
      <w:tr w:rsidR="001E775E" w:rsidRPr="008B39E1" w14:paraId="2A0164BA" w14:textId="77777777" w:rsidTr="00702126">
        <w:trPr>
          <w:trHeight w:val="315"/>
        </w:trPr>
        <w:tc>
          <w:tcPr>
            <w:tcW w:w="1590" w:type="pct"/>
            <w:tcBorders>
              <w:top w:val="nil"/>
              <w:left w:val="nil"/>
              <w:bottom w:val="nil"/>
              <w:right w:val="nil"/>
            </w:tcBorders>
            <w:shd w:val="clear" w:color="auto" w:fill="auto"/>
            <w:noWrap/>
            <w:vAlign w:val="bottom"/>
          </w:tcPr>
          <w:p w14:paraId="73578D4E" w14:textId="77777777" w:rsidR="001E775E" w:rsidRPr="008B39E1" w:rsidRDefault="001E775E"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00D4D6BC"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003EA545"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E56F9AB"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69B503E6" w14:textId="79703992"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(0.899)</w:t>
            </w:r>
          </w:p>
        </w:tc>
        <w:tc>
          <w:tcPr>
            <w:tcW w:w="544" w:type="pct"/>
            <w:tcBorders>
              <w:top w:val="nil"/>
              <w:left w:val="nil"/>
              <w:bottom w:val="nil"/>
              <w:right w:val="nil"/>
            </w:tcBorders>
            <w:vAlign w:val="bottom"/>
          </w:tcPr>
          <w:p w14:paraId="60637CC6"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3B6992F"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F1F976F"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r>
      <w:tr w:rsidR="001E775E" w:rsidRPr="008B39E1" w14:paraId="4F3C663B" w14:textId="77777777" w:rsidTr="00702126">
        <w:trPr>
          <w:trHeight w:val="315"/>
        </w:trPr>
        <w:tc>
          <w:tcPr>
            <w:tcW w:w="1590" w:type="pct"/>
            <w:tcBorders>
              <w:top w:val="nil"/>
              <w:left w:val="nil"/>
              <w:bottom w:val="nil"/>
              <w:right w:val="nil"/>
            </w:tcBorders>
            <w:shd w:val="clear" w:color="auto" w:fill="auto"/>
            <w:noWrap/>
            <w:vAlign w:val="bottom"/>
          </w:tcPr>
          <w:p w14:paraId="12820086" w14:textId="260AE036" w:rsidR="001E775E" w:rsidRPr="008B39E1" w:rsidRDefault="001E775E"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POSTxRELOCATExNORMSraw</w:t>
            </w:r>
            <w:proofErr w:type="spellEnd"/>
          </w:p>
        </w:tc>
        <w:tc>
          <w:tcPr>
            <w:tcW w:w="145" w:type="pct"/>
            <w:tcBorders>
              <w:top w:val="nil"/>
              <w:left w:val="nil"/>
              <w:bottom w:val="nil"/>
              <w:right w:val="nil"/>
            </w:tcBorders>
            <w:shd w:val="clear" w:color="auto" w:fill="auto"/>
            <w:noWrap/>
            <w:vAlign w:val="bottom"/>
          </w:tcPr>
          <w:p w14:paraId="205ADD10"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58DF741F"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F76A3C7"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5575CCF4"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344874E" w14:textId="5B45FDB4"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0.000</w:t>
            </w:r>
          </w:p>
        </w:tc>
        <w:tc>
          <w:tcPr>
            <w:tcW w:w="544" w:type="pct"/>
            <w:tcBorders>
              <w:top w:val="nil"/>
              <w:left w:val="nil"/>
              <w:bottom w:val="nil"/>
              <w:right w:val="nil"/>
            </w:tcBorders>
            <w:vAlign w:val="bottom"/>
          </w:tcPr>
          <w:p w14:paraId="17078CF0"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7B67F40"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r>
      <w:tr w:rsidR="001E775E" w:rsidRPr="008B39E1" w14:paraId="31095053" w14:textId="77777777" w:rsidTr="00702126">
        <w:trPr>
          <w:trHeight w:val="315"/>
        </w:trPr>
        <w:tc>
          <w:tcPr>
            <w:tcW w:w="1590" w:type="pct"/>
            <w:tcBorders>
              <w:top w:val="nil"/>
              <w:left w:val="nil"/>
              <w:bottom w:val="nil"/>
              <w:right w:val="nil"/>
            </w:tcBorders>
            <w:shd w:val="clear" w:color="auto" w:fill="auto"/>
            <w:noWrap/>
            <w:vAlign w:val="bottom"/>
          </w:tcPr>
          <w:p w14:paraId="5B2AD72C" w14:textId="77777777" w:rsidR="001E775E" w:rsidRPr="008B39E1" w:rsidRDefault="001E775E"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158DA8D9"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76935BF4"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E3B98A7"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1F5BFFA2"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76AAFD6" w14:textId="7E142D24"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(0.294)</w:t>
            </w:r>
          </w:p>
        </w:tc>
        <w:tc>
          <w:tcPr>
            <w:tcW w:w="544" w:type="pct"/>
            <w:tcBorders>
              <w:top w:val="nil"/>
              <w:left w:val="nil"/>
              <w:bottom w:val="nil"/>
              <w:right w:val="nil"/>
            </w:tcBorders>
            <w:vAlign w:val="bottom"/>
          </w:tcPr>
          <w:p w14:paraId="42E8713E"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A4D42D2"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r>
      <w:tr w:rsidR="001E775E" w:rsidRPr="008B39E1" w14:paraId="341BD36A" w14:textId="77777777" w:rsidTr="00702126">
        <w:trPr>
          <w:trHeight w:val="315"/>
        </w:trPr>
        <w:tc>
          <w:tcPr>
            <w:tcW w:w="1590" w:type="pct"/>
            <w:tcBorders>
              <w:top w:val="nil"/>
              <w:left w:val="nil"/>
              <w:bottom w:val="nil"/>
              <w:right w:val="nil"/>
            </w:tcBorders>
            <w:shd w:val="clear" w:color="auto" w:fill="auto"/>
            <w:noWrap/>
            <w:vAlign w:val="bottom"/>
          </w:tcPr>
          <w:p w14:paraId="4D5B586B" w14:textId="0A48397C" w:rsidR="001E775E" w:rsidRPr="008B39E1" w:rsidRDefault="001E775E"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POSTxRELOCATExCHNETW</w:t>
            </w:r>
            <w:proofErr w:type="spellEnd"/>
          </w:p>
        </w:tc>
        <w:tc>
          <w:tcPr>
            <w:tcW w:w="145" w:type="pct"/>
            <w:tcBorders>
              <w:top w:val="nil"/>
              <w:left w:val="nil"/>
              <w:bottom w:val="nil"/>
              <w:right w:val="nil"/>
            </w:tcBorders>
            <w:shd w:val="clear" w:color="auto" w:fill="auto"/>
            <w:noWrap/>
            <w:vAlign w:val="bottom"/>
          </w:tcPr>
          <w:p w14:paraId="445BD9A9"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12BA0B9A"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65BD94F"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0CAC4E52"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945501E"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31F6ED0" w14:textId="20A6CF8F"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0.026</w:t>
            </w:r>
          </w:p>
        </w:tc>
        <w:tc>
          <w:tcPr>
            <w:tcW w:w="544" w:type="pct"/>
            <w:tcBorders>
              <w:top w:val="nil"/>
              <w:left w:val="nil"/>
              <w:bottom w:val="nil"/>
              <w:right w:val="nil"/>
            </w:tcBorders>
            <w:vAlign w:val="bottom"/>
          </w:tcPr>
          <w:p w14:paraId="67EAC1DB"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r>
      <w:tr w:rsidR="001E775E" w:rsidRPr="008B39E1" w14:paraId="0C2BBC61" w14:textId="77777777" w:rsidTr="00702126">
        <w:trPr>
          <w:trHeight w:val="315"/>
        </w:trPr>
        <w:tc>
          <w:tcPr>
            <w:tcW w:w="1590" w:type="pct"/>
            <w:tcBorders>
              <w:top w:val="nil"/>
              <w:left w:val="nil"/>
              <w:bottom w:val="nil"/>
              <w:right w:val="nil"/>
            </w:tcBorders>
            <w:shd w:val="clear" w:color="auto" w:fill="auto"/>
            <w:noWrap/>
            <w:vAlign w:val="bottom"/>
          </w:tcPr>
          <w:p w14:paraId="2A8A66B8" w14:textId="77777777" w:rsidR="001E775E" w:rsidRPr="008B39E1" w:rsidRDefault="001E775E"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1A937930"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69CDFD6"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B43CD76"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232E14F7"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9E70D31"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FF1D2E3" w14:textId="45D5217F"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(1.052)</w:t>
            </w:r>
          </w:p>
        </w:tc>
        <w:tc>
          <w:tcPr>
            <w:tcW w:w="544" w:type="pct"/>
            <w:tcBorders>
              <w:top w:val="nil"/>
              <w:left w:val="nil"/>
              <w:bottom w:val="nil"/>
              <w:right w:val="nil"/>
            </w:tcBorders>
            <w:vAlign w:val="bottom"/>
          </w:tcPr>
          <w:p w14:paraId="2B34303F"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r>
      <w:tr w:rsidR="001E775E" w:rsidRPr="008B39E1" w14:paraId="26B88408" w14:textId="77777777" w:rsidTr="00702126">
        <w:trPr>
          <w:trHeight w:val="315"/>
        </w:trPr>
        <w:tc>
          <w:tcPr>
            <w:tcW w:w="1590" w:type="pct"/>
            <w:tcBorders>
              <w:top w:val="nil"/>
              <w:left w:val="nil"/>
              <w:bottom w:val="nil"/>
              <w:right w:val="nil"/>
            </w:tcBorders>
            <w:shd w:val="clear" w:color="auto" w:fill="auto"/>
            <w:noWrap/>
            <w:vAlign w:val="bottom"/>
          </w:tcPr>
          <w:p w14:paraId="04E68067" w14:textId="77777777" w:rsidR="001E775E" w:rsidRPr="008B39E1" w:rsidRDefault="001E775E"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POSTxMOVERxNETWraw</w:t>
            </w:r>
            <w:proofErr w:type="spellEnd"/>
          </w:p>
        </w:tc>
        <w:tc>
          <w:tcPr>
            <w:tcW w:w="145" w:type="pct"/>
            <w:tcBorders>
              <w:top w:val="nil"/>
              <w:left w:val="nil"/>
              <w:bottom w:val="nil"/>
              <w:right w:val="nil"/>
            </w:tcBorders>
            <w:shd w:val="clear" w:color="auto" w:fill="auto"/>
            <w:noWrap/>
            <w:vAlign w:val="bottom"/>
          </w:tcPr>
          <w:p w14:paraId="19D89483"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4C615B2"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E3B18AA"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1C2E2B25"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239E7CF"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27EC0F8"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3BDE2F5" w14:textId="7F8D3B38"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0.000</w:t>
            </w:r>
          </w:p>
        </w:tc>
      </w:tr>
      <w:tr w:rsidR="001E775E" w:rsidRPr="008B39E1" w14:paraId="3E4241E2" w14:textId="77777777" w:rsidTr="00702126">
        <w:trPr>
          <w:trHeight w:val="315"/>
        </w:trPr>
        <w:tc>
          <w:tcPr>
            <w:tcW w:w="1590" w:type="pct"/>
            <w:tcBorders>
              <w:top w:val="nil"/>
              <w:left w:val="nil"/>
              <w:bottom w:val="nil"/>
              <w:right w:val="nil"/>
            </w:tcBorders>
            <w:shd w:val="clear" w:color="auto" w:fill="auto"/>
            <w:noWrap/>
            <w:vAlign w:val="bottom"/>
          </w:tcPr>
          <w:p w14:paraId="0FADF522" w14:textId="77777777" w:rsidR="001E775E" w:rsidRPr="008B39E1" w:rsidRDefault="001E775E"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1FA1E51B"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0DF08CA"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760E7E7"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4BAD5D70"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4E66754"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616F2F5" w14:textId="77777777" w:rsidR="001E775E" w:rsidRPr="008B39E1" w:rsidRDefault="001E775E"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9737AFE" w14:textId="0E1794D9"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(0.320)</w:t>
            </w:r>
          </w:p>
        </w:tc>
      </w:tr>
      <w:tr w:rsidR="001E775E" w:rsidRPr="008B39E1" w14:paraId="51454750" w14:textId="77777777" w:rsidTr="00702126">
        <w:trPr>
          <w:trHeight w:val="117"/>
        </w:trPr>
        <w:tc>
          <w:tcPr>
            <w:tcW w:w="1590" w:type="pct"/>
            <w:tcBorders>
              <w:top w:val="nil"/>
              <w:left w:val="nil"/>
              <w:bottom w:val="nil"/>
              <w:right w:val="nil"/>
            </w:tcBorders>
            <w:shd w:val="clear" w:color="auto" w:fill="auto"/>
            <w:noWrap/>
            <w:vAlign w:val="bottom"/>
          </w:tcPr>
          <w:p w14:paraId="0EE64C41" w14:textId="0FD1F090" w:rsidR="001E775E" w:rsidRPr="008B39E1" w:rsidRDefault="001E775E"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POSTxRELOCATExNO_CHSC</w:t>
            </w:r>
            <w:proofErr w:type="spellEnd"/>
          </w:p>
        </w:tc>
        <w:tc>
          <w:tcPr>
            <w:tcW w:w="145" w:type="pct"/>
            <w:tcBorders>
              <w:top w:val="nil"/>
              <w:left w:val="nil"/>
              <w:bottom w:val="nil"/>
              <w:right w:val="nil"/>
            </w:tcBorders>
            <w:shd w:val="clear" w:color="auto" w:fill="auto"/>
            <w:noWrap/>
            <w:vAlign w:val="bottom"/>
          </w:tcPr>
          <w:p w14:paraId="3408023A"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324A2FC8" w14:textId="1771BF4B"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0.024</w:t>
            </w:r>
          </w:p>
        </w:tc>
        <w:tc>
          <w:tcPr>
            <w:tcW w:w="544" w:type="pct"/>
            <w:tcBorders>
              <w:top w:val="nil"/>
              <w:left w:val="nil"/>
              <w:bottom w:val="nil"/>
              <w:right w:val="nil"/>
            </w:tcBorders>
            <w:vAlign w:val="bottom"/>
          </w:tcPr>
          <w:p w14:paraId="6317D4C9" w14:textId="668CF231"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0.019</w:t>
            </w:r>
          </w:p>
        </w:tc>
        <w:tc>
          <w:tcPr>
            <w:tcW w:w="545" w:type="pct"/>
            <w:tcBorders>
              <w:top w:val="nil"/>
              <w:left w:val="nil"/>
              <w:bottom w:val="nil"/>
              <w:right w:val="nil"/>
            </w:tcBorders>
            <w:vAlign w:val="bottom"/>
          </w:tcPr>
          <w:p w14:paraId="244B07A6" w14:textId="15EF3EE6"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0.023</w:t>
            </w:r>
          </w:p>
        </w:tc>
        <w:tc>
          <w:tcPr>
            <w:tcW w:w="544" w:type="pct"/>
            <w:tcBorders>
              <w:top w:val="nil"/>
              <w:left w:val="nil"/>
              <w:bottom w:val="nil"/>
              <w:right w:val="nil"/>
            </w:tcBorders>
            <w:vAlign w:val="bottom"/>
          </w:tcPr>
          <w:p w14:paraId="6D7142F8" w14:textId="16A657CA"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0.020</w:t>
            </w:r>
          </w:p>
        </w:tc>
        <w:tc>
          <w:tcPr>
            <w:tcW w:w="544" w:type="pct"/>
            <w:tcBorders>
              <w:top w:val="nil"/>
              <w:left w:val="nil"/>
              <w:bottom w:val="nil"/>
              <w:right w:val="nil"/>
            </w:tcBorders>
            <w:vAlign w:val="bottom"/>
          </w:tcPr>
          <w:p w14:paraId="2D2311DD" w14:textId="5B43E706"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0.024</w:t>
            </w:r>
          </w:p>
        </w:tc>
        <w:tc>
          <w:tcPr>
            <w:tcW w:w="544" w:type="pct"/>
            <w:tcBorders>
              <w:top w:val="nil"/>
              <w:left w:val="nil"/>
              <w:bottom w:val="nil"/>
              <w:right w:val="nil"/>
            </w:tcBorders>
            <w:vAlign w:val="bottom"/>
          </w:tcPr>
          <w:p w14:paraId="3571292C" w14:textId="1CA12DE7"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0.019</w:t>
            </w:r>
          </w:p>
        </w:tc>
      </w:tr>
      <w:tr w:rsidR="001E775E" w:rsidRPr="008B39E1" w14:paraId="5E1DAB4B" w14:textId="77777777" w:rsidTr="00702126">
        <w:trPr>
          <w:trHeight w:val="117"/>
        </w:trPr>
        <w:tc>
          <w:tcPr>
            <w:tcW w:w="1590" w:type="pct"/>
            <w:tcBorders>
              <w:top w:val="nil"/>
              <w:left w:val="nil"/>
              <w:bottom w:val="nil"/>
              <w:right w:val="nil"/>
            </w:tcBorders>
            <w:shd w:val="clear" w:color="auto" w:fill="auto"/>
            <w:noWrap/>
            <w:vAlign w:val="bottom"/>
          </w:tcPr>
          <w:p w14:paraId="69CDA918" w14:textId="77777777" w:rsidR="001E775E" w:rsidRPr="008B39E1" w:rsidRDefault="001E775E" w:rsidP="000F0F5A">
            <w:pPr>
              <w:spacing w:after="0" w:line="240" w:lineRule="auto"/>
              <w:rPr>
                <w:rFonts w:ascii="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tcPr>
          <w:p w14:paraId="11DCE02D"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6190EBBF" w14:textId="11EBBEC2"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(1.274)</w:t>
            </w:r>
          </w:p>
        </w:tc>
        <w:tc>
          <w:tcPr>
            <w:tcW w:w="544" w:type="pct"/>
            <w:tcBorders>
              <w:top w:val="nil"/>
              <w:left w:val="nil"/>
              <w:bottom w:val="nil"/>
              <w:right w:val="nil"/>
            </w:tcBorders>
            <w:vAlign w:val="bottom"/>
          </w:tcPr>
          <w:p w14:paraId="0FB0F095" w14:textId="0ACF2EC4"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(0.993)</w:t>
            </w:r>
          </w:p>
        </w:tc>
        <w:tc>
          <w:tcPr>
            <w:tcW w:w="545" w:type="pct"/>
            <w:tcBorders>
              <w:top w:val="nil"/>
              <w:left w:val="nil"/>
              <w:bottom w:val="nil"/>
              <w:right w:val="nil"/>
            </w:tcBorders>
            <w:vAlign w:val="bottom"/>
          </w:tcPr>
          <w:p w14:paraId="120A30B7" w14:textId="7CA84246"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(1.238)</w:t>
            </w:r>
          </w:p>
        </w:tc>
        <w:tc>
          <w:tcPr>
            <w:tcW w:w="544" w:type="pct"/>
            <w:tcBorders>
              <w:top w:val="nil"/>
              <w:left w:val="nil"/>
              <w:bottom w:val="nil"/>
              <w:right w:val="nil"/>
            </w:tcBorders>
            <w:vAlign w:val="bottom"/>
          </w:tcPr>
          <w:p w14:paraId="2BFB92E1" w14:textId="4719C7B3"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(1.040)</w:t>
            </w:r>
          </w:p>
        </w:tc>
        <w:tc>
          <w:tcPr>
            <w:tcW w:w="544" w:type="pct"/>
            <w:tcBorders>
              <w:top w:val="nil"/>
              <w:left w:val="nil"/>
              <w:bottom w:val="nil"/>
              <w:right w:val="nil"/>
            </w:tcBorders>
            <w:vAlign w:val="bottom"/>
          </w:tcPr>
          <w:p w14:paraId="6D3E96A1" w14:textId="31EE5E50"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(1.270)</w:t>
            </w:r>
          </w:p>
        </w:tc>
        <w:tc>
          <w:tcPr>
            <w:tcW w:w="544" w:type="pct"/>
            <w:tcBorders>
              <w:top w:val="nil"/>
              <w:left w:val="nil"/>
              <w:bottom w:val="nil"/>
              <w:right w:val="nil"/>
            </w:tcBorders>
            <w:vAlign w:val="bottom"/>
          </w:tcPr>
          <w:p w14:paraId="152596FA" w14:textId="6FE990BD"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(1.029)</w:t>
            </w:r>
          </w:p>
        </w:tc>
      </w:tr>
      <w:tr w:rsidR="001E775E" w:rsidRPr="008B39E1" w14:paraId="392294CD" w14:textId="77777777" w:rsidTr="00702126">
        <w:trPr>
          <w:trHeight w:val="117"/>
        </w:trPr>
        <w:tc>
          <w:tcPr>
            <w:tcW w:w="1590" w:type="pct"/>
            <w:tcBorders>
              <w:top w:val="nil"/>
              <w:left w:val="nil"/>
              <w:bottom w:val="nil"/>
              <w:right w:val="nil"/>
            </w:tcBorders>
            <w:shd w:val="clear" w:color="auto" w:fill="auto"/>
            <w:noWrap/>
            <w:vAlign w:val="bottom"/>
          </w:tcPr>
          <w:p w14:paraId="3341381C" w14:textId="77777777" w:rsidR="001E775E" w:rsidRPr="008B39E1" w:rsidRDefault="001E775E" w:rsidP="000F0F5A">
            <w:pPr>
              <w:spacing w:after="0" w:line="240" w:lineRule="auto"/>
              <w:rPr>
                <w:rFonts w:ascii="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tcPr>
          <w:p w14:paraId="6812582C"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22CD6D33"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3DE2EF81"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tcPr>
          <w:p w14:paraId="460B079F"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30303DD9"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45C17490"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29A1A423"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p>
        </w:tc>
      </w:tr>
      <w:tr w:rsidR="001E775E" w:rsidRPr="008B39E1" w14:paraId="35EEB34F" w14:textId="77777777" w:rsidTr="00702126">
        <w:trPr>
          <w:trHeight w:val="315"/>
        </w:trPr>
        <w:tc>
          <w:tcPr>
            <w:tcW w:w="1590" w:type="pct"/>
            <w:tcBorders>
              <w:top w:val="nil"/>
              <w:left w:val="nil"/>
              <w:bottom w:val="nil"/>
              <w:right w:val="nil"/>
            </w:tcBorders>
            <w:shd w:val="clear" w:color="auto" w:fill="auto"/>
            <w:noWrap/>
            <w:vAlign w:val="bottom"/>
          </w:tcPr>
          <w:p w14:paraId="7EB35E40" w14:textId="77777777" w:rsidR="001E775E" w:rsidRPr="008B39E1" w:rsidRDefault="001E775E"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Controls</w:t>
            </w:r>
          </w:p>
        </w:tc>
        <w:tc>
          <w:tcPr>
            <w:tcW w:w="145" w:type="pct"/>
            <w:tcBorders>
              <w:top w:val="nil"/>
              <w:left w:val="nil"/>
              <w:bottom w:val="nil"/>
              <w:right w:val="nil"/>
            </w:tcBorders>
            <w:shd w:val="clear" w:color="auto" w:fill="auto"/>
            <w:noWrap/>
            <w:vAlign w:val="bottom"/>
          </w:tcPr>
          <w:p w14:paraId="4233BF07"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56343A18"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2CA5A0A8"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5" w:type="pct"/>
            <w:tcBorders>
              <w:top w:val="nil"/>
              <w:left w:val="nil"/>
              <w:bottom w:val="nil"/>
              <w:right w:val="nil"/>
            </w:tcBorders>
            <w:vAlign w:val="center"/>
          </w:tcPr>
          <w:p w14:paraId="6911231F"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517D5126"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4F9F066E"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22C68BD2"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r>
      <w:tr w:rsidR="001E775E" w:rsidRPr="008B39E1" w14:paraId="3E592493" w14:textId="77777777" w:rsidTr="00702126">
        <w:trPr>
          <w:trHeight w:val="315"/>
        </w:trPr>
        <w:tc>
          <w:tcPr>
            <w:tcW w:w="1590" w:type="pct"/>
            <w:tcBorders>
              <w:top w:val="nil"/>
              <w:left w:val="nil"/>
              <w:bottom w:val="nil"/>
              <w:right w:val="nil"/>
            </w:tcBorders>
            <w:shd w:val="clear" w:color="auto" w:fill="auto"/>
            <w:noWrap/>
            <w:vAlign w:val="bottom"/>
          </w:tcPr>
          <w:p w14:paraId="2161A422" w14:textId="77777777" w:rsidR="001E775E" w:rsidRPr="008B39E1" w:rsidRDefault="001E775E"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Fixed Effects</w:t>
            </w:r>
          </w:p>
        </w:tc>
        <w:tc>
          <w:tcPr>
            <w:tcW w:w="145" w:type="pct"/>
            <w:tcBorders>
              <w:top w:val="nil"/>
              <w:left w:val="nil"/>
              <w:bottom w:val="nil"/>
              <w:right w:val="nil"/>
            </w:tcBorders>
            <w:shd w:val="clear" w:color="auto" w:fill="auto"/>
            <w:noWrap/>
            <w:vAlign w:val="bottom"/>
          </w:tcPr>
          <w:p w14:paraId="39E27C4D"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40C7688B"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3D027CC8"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5" w:type="pct"/>
            <w:tcBorders>
              <w:top w:val="nil"/>
              <w:left w:val="nil"/>
              <w:bottom w:val="nil"/>
              <w:right w:val="nil"/>
            </w:tcBorders>
            <w:vAlign w:val="center"/>
          </w:tcPr>
          <w:p w14:paraId="2379C7CB"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11F286FF"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2031ACB8"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2CBBDEA5" w14:textId="7777777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r>
      <w:tr w:rsidR="001E775E" w:rsidRPr="008B39E1" w14:paraId="37577B32" w14:textId="77777777" w:rsidTr="00702126">
        <w:trPr>
          <w:trHeight w:val="315"/>
        </w:trPr>
        <w:tc>
          <w:tcPr>
            <w:tcW w:w="1590" w:type="pct"/>
            <w:tcBorders>
              <w:top w:val="nil"/>
              <w:left w:val="nil"/>
              <w:bottom w:val="nil"/>
              <w:right w:val="nil"/>
            </w:tcBorders>
            <w:shd w:val="clear" w:color="auto" w:fill="auto"/>
            <w:noWrap/>
            <w:vAlign w:val="bottom"/>
          </w:tcPr>
          <w:p w14:paraId="7CDD03ED" w14:textId="77777777" w:rsidR="001E775E" w:rsidRPr="008B39E1" w:rsidRDefault="001E775E"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Clustered SE</w:t>
            </w:r>
          </w:p>
        </w:tc>
        <w:tc>
          <w:tcPr>
            <w:tcW w:w="145" w:type="pct"/>
            <w:tcBorders>
              <w:top w:val="nil"/>
              <w:left w:val="nil"/>
              <w:bottom w:val="nil"/>
              <w:right w:val="nil"/>
            </w:tcBorders>
            <w:shd w:val="clear" w:color="auto" w:fill="auto"/>
            <w:noWrap/>
            <w:vAlign w:val="bottom"/>
          </w:tcPr>
          <w:p w14:paraId="45EC83D9"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1D8AF347" w14:textId="77777777"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76A39D4B"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5" w:type="pct"/>
            <w:tcBorders>
              <w:top w:val="nil"/>
              <w:left w:val="nil"/>
              <w:bottom w:val="nil"/>
              <w:right w:val="nil"/>
            </w:tcBorders>
            <w:vAlign w:val="center"/>
          </w:tcPr>
          <w:p w14:paraId="7DD6306B"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1D0C618C"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7F070841"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4BD4A1FE"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r>
      <w:tr w:rsidR="001E775E" w:rsidRPr="008B39E1" w14:paraId="3487C018" w14:textId="77777777" w:rsidTr="00702126">
        <w:trPr>
          <w:trHeight w:val="315"/>
        </w:trPr>
        <w:tc>
          <w:tcPr>
            <w:tcW w:w="1590" w:type="pct"/>
            <w:tcBorders>
              <w:top w:val="nil"/>
              <w:left w:val="nil"/>
              <w:bottom w:val="nil"/>
              <w:right w:val="nil"/>
            </w:tcBorders>
            <w:shd w:val="clear" w:color="auto" w:fill="auto"/>
            <w:noWrap/>
            <w:vAlign w:val="bottom"/>
          </w:tcPr>
          <w:p w14:paraId="321DF28D" w14:textId="77777777" w:rsidR="001E775E" w:rsidRPr="008B39E1" w:rsidRDefault="001E775E" w:rsidP="000F0F5A">
            <w:pPr>
              <w:spacing w:after="0" w:line="240" w:lineRule="auto"/>
              <w:rPr>
                <w:rFonts w:ascii="Times New Roman" w:hAnsi="Times New Roman" w:cs="Times New Roman"/>
                <w:color w:val="000000"/>
                <w:sz w:val="20"/>
                <w:szCs w:val="20"/>
              </w:rPr>
            </w:pPr>
            <w:r w:rsidRPr="008B39E1">
              <w:rPr>
                <w:rFonts w:ascii="Times New Roman" w:hAnsi="Times New Roman" w:cs="Times New Roman"/>
                <w:color w:val="000000"/>
                <w:sz w:val="20"/>
                <w:szCs w:val="20"/>
              </w:rPr>
              <w:t>F-test</w:t>
            </w:r>
          </w:p>
        </w:tc>
        <w:tc>
          <w:tcPr>
            <w:tcW w:w="145" w:type="pct"/>
            <w:tcBorders>
              <w:top w:val="nil"/>
              <w:left w:val="nil"/>
              <w:bottom w:val="nil"/>
              <w:right w:val="nil"/>
            </w:tcBorders>
            <w:shd w:val="clear" w:color="auto" w:fill="auto"/>
            <w:noWrap/>
            <w:vAlign w:val="bottom"/>
          </w:tcPr>
          <w:p w14:paraId="41EEC657"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003BDD83" w14:textId="10B5F8F9"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0.00</w:t>
            </w:r>
          </w:p>
        </w:tc>
        <w:tc>
          <w:tcPr>
            <w:tcW w:w="544" w:type="pct"/>
            <w:tcBorders>
              <w:top w:val="nil"/>
              <w:left w:val="nil"/>
              <w:bottom w:val="nil"/>
              <w:right w:val="nil"/>
            </w:tcBorders>
            <w:vAlign w:val="bottom"/>
          </w:tcPr>
          <w:p w14:paraId="13AD9F44"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c>
          <w:tcPr>
            <w:tcW w:w="545" w:type="pct"/>
            <w:tcBorders>
              <w:top w:val="nil"/>
              <w:left w:val="nil"/>
              <w:bottom w:val="nil"/>
              <w:right w:val="nil"/>
            </w:tcBorders>
            <w:vAlign w:val="bottom"/>
          </w:tcPr>
          <w:p w14:paraId="06C3C1C9" w14:textId="34468A72"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0.00</w:t>
            </w:r>
          </w:p>
        </w:tc>
        <w:tc>
          <w:tcPr>
            <w:tcW w:w="544" w:type="pct"/>
            <w:tcBorders>
              <w:top w:val="nil"/>
              <w:left w:val="nil"/>
              <w:bottom w:val="nil"/>
              <w:right w:val="nil"/>
            </w:tcBorders>
            <w:vAlign w:val="bottom"/>
          </w:tcPr>
          <w:p w14:paraId="1EEDE1D8"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c>
          <w:tcPr>
            <w:tcW w:w="544" w:type="pct"/>
            <w:tcBorders>
              <w:top w:val="nil"/>
              <w:left w:val="nil"/>
              <w:bottom w:val="nil"/>
              <w:right w:val="nil"/>
            </w:tcBorders>
            <w:vAlign w:val="bottom"/>
          </w:tcPr>
          <w:p w14:paraId="26FDCC61" w14:textId="7F977BED"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0.01</w:t>
            </w:r>
          </w:p>
        </w:tc>
        <w:tc>
          <w:tcPr>
            <w:tcW w:w="544" w:type="pct"/>
            <w:tcBorders>
              <w:top w:val="nil"/>
              <w:left w:val="nil"/>
              <w:bottom w:val="nil"/>
              <w:right w:val="nil"/>
            </w:tcBorders>
            <w:vAlign w:val="bottom"/>
          </w:tcPr>
          <w:p w14:paraId="71967808" w14:textId="777777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r>
      <w:tr w:rsidR="001E775E" w:rsidRPr="008B39E1" w14:paraId="2902B777" w14:textId="77777777" w:rsidTr="00702126">
        <w:trPr>
          <w:trHeight w:val="315"/>
        </w:trPr>
        <w:tc>
          <w:tcPr>
            <w:tcW w:w="1590" w:type="pct"/>
            <w:tcBorders>
              <w:top w:val="nil"/>
              <w:left w:val="nil"/>
              <w:right w:val="nil"/>
            </w:tcBorders>
            <w:shd w:val="clear" w:color="auto" w:fill="auto"/>
            <w:noWrap/>
            <w:vAlign w:val="bottom"/>
          </w:tcPr>
          <w:p w14:paraId="56E135DB" w14:textId="77777777" w:rsidR="001E775E" w:rsidRPr="008B39E1" w:rsidRDefault="001E775E"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N</w:t>
            </w:r>
          </w:p>
        </w:tc>
        <w:tc>
          <w:tcPr>
            <w:tcW w:w="145" w:type="pct"/>
            <w:tcBorders>
              <w:top w:val="nil"/>
              <w:left w:val="nil"/>
              <w:right w:val="nil"/>
            </w:tcBorders>
            <w:shd w:val="clear" w:color="auto" w:fill="auto"/>
            <w:noWrap/>
            <w:vAlign w:val="bottom"/>
          </w:tcPr>
          <w:p w14:paraId="18DBE3EF"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right w:val="nil"/>
            </w:tcBorders>
            <w:shd w:val="clear" w:color="auto" w:fill="auto"/>
            <w:noWrap/>
            <w:vAlign w:val="bottom"/>
          </w:tcPr>
          <w:p w14:paraId="46C40557" w14:textId="54B00790"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383</w:t>
            </w:r>
          </w:p>
        </w:tc>
        <w:tc>
          <w:tcPr>
            <w:tcW w:w="544" w:type="pct"/>
            <w:tcBorders>
              <w:top w:val="nil"/>
              <w:left w:val="nil"/>
              <w:right w:val="nil"/>
            </w:tcBorders>
            <w:vAlign w:val="bottom"/>
          </w:tcPr>
          <w:p w14:paraId="690DB950" w14:textId="759E3F41"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383</w:t>
            </w:r>
          </w:p>
        </w:tc>
        <w:tc>
          <w:tcPr>
            <w:tcW w:w="545" w:type="pct"/>
            <w:tcBorders>
              <w:top w:val="nil"/>
              <w:left w:val="nil"/>
              <w:right w:val="nil"/>
            </w:tcBorders>
            <w:vAlign w:val="bottom"/>
          </w:tcPr>
          <w:p w14:paraId="4E8B22AE" w14:textId="6E1BCF80"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383</w:t>
            </w:r>
          </w:p>
        </w:tc>
        <w:tc>
          <w:tcPr>
            <w:tcW w:w="544" w:type="pct"/>
            <w:tcBorders>
              <w:top w:val="nil"/>
              <w:left w:val="nil"/>
              <w:right w:val="nil"/>
            </w:tcBorders>
            <w:vAlign w:val="bottom"/>
          </w:tcPr>
          <w:p w14:paraId="4ABE4746" w14:textId="38200C7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383</w:t>
            </w:r>
          </w:p>
        </w:tc>
        <w:tc>
          <w:tcPr>
            <w:tcW w:w="544" w:type="pct"/>
            <w:tcBorders>
              <w:top w:val="nil"/>
              <w:left w:val="nil"/>
              <w:right w:val="nil"/>
            </w:tcBorders>
            <w:vAlign w:val="bottom"/>
          </w:tcPr>
          <w:p w14:paraId="00C12F03" w14:textId="3B07CDE0"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383</w:t>
            </w:r>
          </w:p>
        </w:tc>
        <w:tc>
          <w:tcPr>
            <w:tcW w:w="544" w:type="pct"/>
            <w:tcBorders>
              <w:top w:val="nil"/>
              <w:left w:val="nil"/>
              <w:right w:val="nil"/>
            </w:tcBorders>
            <w:vAlign w:val="bottom"/>
          </w:tcPr>
          <w:p w14:paraId="0E352CC2" w14:textId="3D4D5E18"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3</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383</w:t>
            </w:r>
          </w:p>
        </w:tc>
      </w:tr>
      <w:tr w:rsidR="001E775E" w:rsidRPr="008B39E1" w14:paraId="352C000C" w14:textId="77777777" w:rsidTr="00702126">
        <w:trPr>
          <w:trHeight w:val="315"/>
        </w:trPr>
        <w:tc>
          <w:tcPr>
            <w:tcW w:w="1590" w:type="pct"/>
            <w:tcBorders>
              <w:top w:val="nil"/>
              <w:left w:val="nil"/>
              <w:bottom w:val="single" w:sz="4" w:space="0" w:color="auto"/>
              <w:right w:val="nil"/>
            </w:tcBorders>
            <w:shd w:val="clear" w:color="auto" w:fill="auto"/>
            <w:noWrap/>
            <w:vAlign w:val="bottom"/>
          </w:tcPr>
          <w:p w14:paraId="68451CEB" w14:textId="77777777" w:rsidR="001E775E" w:rsidRPr="008B39E1" w:rsidRDefault="001E775E"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Adj-</w:t>
            </w:r>
            <w:r w:rsidRPr="008B39E1">
              <w:rPr>
                <w:rFonts w:ascii="Times New Roman" w:eastAsia="Times New Roman" w:hAnsi="Times New Roman" w:cs="Times New Roman"/>
                <w:color w:val="000000"/>
                <w:sz w:val="20"/>
                <w:szCs w:val="20"/>
              </w:rPr>
              <w:t xml:space="preserve"> R</w:t>
            </w:r>
            <w:r w:rsidRPr="008B39E1">
              <w:rPr>
                <w:rFonts w:ascii="Times New Roman" w:eastAsia="Times New Roman" w:hAnsi="Times New Roman" w:cs="Times New Roman"/>
                <w:color w:val="000000"/>
                <w:sz w:val="20"/>
                <w:szCs w:val="20"/>
                <w:vertAlign w:val="superscript"/>
              </w:rPr>
              <w:t>2</w:t>
            </w:r>
          </w:p>
        </w:tc>
        <w:tc>
          <w:tcPr>
            <w:tcW w:w="145" w:type="pct"/>
            <w:tcBorders>
              <w:top w:val="nil"/>
              <w:left w:val="nil"/>
              <w:bottom w:val="single" w:sz="4" w:space="0" w:color="auto"/>
              <w:right w:val="nil"/>
            </w:tcBorders>
            <w:shd w:val="clear" w:color="auto" w:fill="auto"/>
            <w:noWrap/>
            <w:vAlign w:val="bottom"/>
          </w:tcPr>
          <w:p w14:paraId="3E734CE8" w14:textId="77777777" w:rsidR="001E775E" w:rsidRPr="008B39E1" w:rsidRDefault="001E775E"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single" w:sz="4" w:space="0" w:color="auto"/>
              <w:right w:val="nil"/>
            </w:tcBorders>
            <w:shd w:val="clear" w:color="auto" w:fill="auto"/>
            <w:noWrap/>
            <w:vAlign w:val="bottom"/>
          </w:tcPr>
          <w:p w14:paraId="685A473B" w14:textId="722D4CCF" w:rsidR="001E775E" w:rsidRPr="008B39E1" w:rsidRDefault="001E775E"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0.203</w:t>
            </w:r>
          </w:p>
        </w:tc>
        <w:tc>
          <w:tcPr>
            <w:tcW w:w="544" w:type="pct"/>
            <w:tcBorders>
              <w:top w:val="nil"/>
              <w:left w:val="nil"/>
              <w:bottom w:val="single" w:sz="4" w:space="0" w:color="auto"/>
              <w:right w:val="nil"/>
            </w:tcBorders>
            <w:vAlign w:val="bottom"/>
          </w:tcPr>
          <w:p w14:paraId="6A6B924D" w14:textId="4CFAC45F"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0.203</w:t>
            </w:r>
          </w:p>
        </w:tc>
        <w:tc>
          <w:tcPr>
            <w:tcW w:w="545" w:type="pct"/>
            <w:tcBorders>
              <w:top w:val="nil"/>
              <w:left w:val="nil"/>
              <w:bottom w:val="single" w:sz="4" w:space="0" w:color="auto"/>
              <w:right w:val="nil"/>
            </w:tcBorders>
            <w:vAlign w:val="bottom"/>
          </w:tcPr>
          <w:p w14:paraId="3BD87515" w14:textId="4AAD3AC5"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0.203</w:t>
            </w:r>
          </w:p>
        </w:tc>
        <w:tc>
          <w:tcPr>
            <w:tcW w:w="544" w:type="pct"/>
            <w:tcBorders>
              <w:top w:val="nil"/>
              <w:left w:val="nil"/>
              <w:bottom w:val="single" w:sz="4" w:space="0" w:color="auto"/>
              <w:right w:val="nil"/>
            </w:tcBorders>
            <w:vAlign w:val="bottom"/>
          </w:tcPr>
          <w:p w14:paraId="7A1069B0" w14:textId="0FB75139"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0.203</w:t>
            </w:r>
          </w:p>
        </w:tc>
        <w:tc>
          <w:tcPr>
            <w:tcW w:w="544" w:type="pct"/>
            <w:tcBorders>
              <w:top w:val="nil"/>
              <w:left w:val="nil"/>
              <w:bottom w:val="single" w:sz="4" w:space="0" w:color="auto"/>
              <w:right w:val="nil"/>
            </w:tcBorders>
            <w:vAlign w:val="bottom"/>
          </w:tcPr>
          <w:p w14:paraId="62B37494" w14:textId="377B6792"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0.203</w:t>
            </w:r>
          </w:p>
        </w:tc>
        <w:tc>
          <w:tcPr>
            <w:tcW w:w="544" w:type="pct"/>
            <w:tcBorders>
              <w:top w:val="nil"/>
              <w:left w:val="nil"/>
              <w:bottom w:val="single" w:sz="4" w:space="0" w:color="auto"/>
              <w:right w:val="nil"/>
            </w:tcBorders>
            <w:vAlign w:val="bottom"/>
          </w:tcPr>
          <w:p w14:paraId="198C447C" w14:textId="23AA2B27" w:rsidR="001E775E" w:rsidRPr="008B39E1" w:rsidRDefault="001E775E"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0.203</w:t>
            </w:r>
          </w:p>
        </w:tc>
      </w:tr>
      <w:tr w:rsidR="001E775E" w:rsidRPr="008B39E1" w14:paraId="53B430F2" w14:textId="77777777" w:rsidTr="00702126">
        <w:trPr>
          <w:trHeight w:val="162"/>
        </w:trPr>
        <w:tc>
          <w:tcPr>
            <w:tcW w:w="5000" w:type="pct"/>
            <w:gridSpan w:val="8"/>
            <w:tcBorders>
              <w:top w:val="single" w:sz="4" w:space="0" w:color="auto"/>
              <w:left w:val="nil"/>
              <w:bottom w:val="nil"/>
              <w:right w:val="nil"/>
            </w:tcBorders>
            <w:shd w:val="clear" w:color="auto" w:fill="auto"/>
            <w:noWrap/>
            <w:vAlign w:val="bottom"/>
          </w:tcPr>
          <w:p w14:paraId="740A8C45" w14:textId="0D3FB170" w:rsidR="001E775E" w:rsidRPr="008B39E1" w:rsidRDefault="001E775E" w:rsidP="000F0F5A">
            <w:pPr>
              <w:spacing w:after="0" w:line="240" w:lineRule="auto"/>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 **, and * indicate significance at the 0.01, 0.05, and 0.10 levels, respectively, using two-tailed tests. Robust standard errors are clustered at the unique firm level. We present t-</w:t>
            </w:r>
            <w:proofErr w:type="gramStart"/>
            <w:r w:rsidRPr="008B39E1">
              <w:rPr>
                <w:rFonts w:ascii="Times New Roman" w:eastAsia="Times New Roman" w:hAnsi="Times New Roman" w:cs="Times New Roman"/>
                <w:color w:val="000000"/>
                <w:sz w:val="20"/>
                <w:szCs w:val="20"/>
              </w:rPr>
              <w:t>statistic</w:t>
            </w:r>
            <w:proofErr w:type="gramEnd"/>
            <w:r w:rsidRPr="008B39E1">
              <w:rPr>
                <w:rFonts w:ascii="Times New Roman" w:eastAsia="Times New Roman" w:hAnsi="Times New Roman" w:cs="Times New Roman"/>
                <w:color w:val="000000"/>
                <w:sz w:val="20"/>
                <w:szCs w:val="20"/>
              </w:rPr>
              <w:t xml:space="preserve"> in parentheses for each variable. See Appendix A for variable definitions.</w:t>
            </w:r>
            <w:r w:rsidR="002A5531">
              <w:rPr>
                <w:rFonts w:ascii="Times New Roman" w:eastAsia="Times New Roman" w:hAnsi="Times New Roman" w:cs="Times New Roman"/>
                <w:color w:val="000000"/>
                <w:sz w:val="20"/>
                <w:szCs w:val="20"/>
              </w:rPr>
              <w:t xml:space="preserve"> Source: Authors own work. </w:t>
            </w:r>
          </w:p>
        </w:tc>
      </w:tr>
    </w:tbl>
    <w:p w14:paraId="24BB9B3C" w14:textId="4675D56F" w:rsidR="00D739C6" w:rsidRPr="008B39E1" w:rsidRDefault="00CE2E4C"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 </w:t>
      </w:r>
    </w:p>
    <w:p w14:paraId="6E08550D" w14:textId="77777777" w:rsidR="00CE2E4C" w:rsidRPr="008B39E1" w:rsidRDefault="00CE2E4C" w:rsidP="000F0F5A">
      <w:pPr>
        <w:spacing w:after="0" w:line="240" w:lineRule="auto"/>
        <w:jc w:val="right"/>
        <w:rPr>
          <w:rFonts w:ascii="Times New Roman" w:hAnsi="Times New Roman" w:cs="Times New Roman"/>
          <w:sz w:val="24"/>
          <w:szCs w:val="24"/>
        </w:rPr>
      </w:pPr>
      <w:r w:rsidRPr="008B39E1">
        <w:rPr>
          <w:rFonts w:ascii="Times New Roman" w:hAnsi="Times New Roman" w:cs="Times New Roman"/>
          <w:i/>
          <w:iCs/>
          <w:sz w:val="24"/>
          <w:szCs w:val="24"/>
        </w:rPr>
        <w:t>(Continued on next page)</w:t>
      </w:r>
    </w:p>
    <w:p w14:paraId="50B3BE58" w14:textId="4D286FCB" w:rsidR="00CE2E4C" w:rsidRPr="008B39E1" w:rsidRDefault="00CE2E4C"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br w:type="page"/>
      </w:r>
      <w:r w:rsidRPr="008B39E1">
        <w:rPr>
          <w:rFonts w:ascii="Times New Roman" w:hAnsi="Times New Roman" w:cs="Times New Roman"/>
          <w:i/>
          <w:iCs/>
          <w:sz w:val="24"/>
          <w:szCs w:val="24"/>
        </w:rPr>
        <w:lastRenderedPageBreak/>
        <w:t>(</w:t>
      </w:r>
      <w:r w:rsidR="00DC55B9" w:rsidRPr="008B39E1">
        <w:rPr>
          <w:rFonts w:ascii="Times New Roman" w:hAnsi="Times New Roman" w:cs="Times New Roman"/>
          <w:i/>
          <w:iCs/>
          <w:sz w:val="24"/>
          <w:szCs w:val="24"/>
        </w:rPr>
        <w:t>TABLE VII</w:t>
      </w:r>
      <w:r w:rsidRPr="008B39E1">
        <w:rPr>
          <w:rFonts w:ascii="Times New Roman" w:hAnsi="Times New Roman" w:cs="Times New Roman"/>
          <w:i/>
          <w:iCs/>
          <w:sz w:val="24"/>
          <w:szCs w:val="24"/>
        </w:rPr>
        <w:t xml:space="preserve"> continued)</w:t>
      </w:r>
    </w:p>
    <w:p w14:paraId="59E5482F" w14:textId="77777777" w:rsidR="00CE2E4C" w:rsidRPr="008B39E1" w:rsidRDefault="00CE2E4C" w:rsidP="000F0F5A">
      <w:pPr>
        <w:spacing w:after="0" w:line="240" w:lineRule="auto"/>
        <w:rPr>
          <w:rFonts w:ascii="Times New Roman" w:hAnsi="Times New Roman" w:cs="Times New Roman"/>
          <w:b/>
          <w:bCs/>
          <w:sz w:val="24"/>
          <w:szCs w:val="24"/>
        </w:rPr>
      </w:pPr>
    </w:p>
    <w:p w14:paraId="72E36170" w14:textId="6C2316EC" w:rsidR="00CE2E4C" w:rsidRPr="008B39E1" w:rsidRDefault="00CE2E4C" w:rsidP="000F0F5A">
      <w:pPr>
        <w:spacing w:after="0" w:line="240" w:lineRule="auto"/>
        <w:rPr>
          <w:rFonts w:ascii="Times New Roman" w:hAnsi="Times New Roman" w:cs="Times New Roman"/>
          <w:b/>
          <w:bCs/>
          <w:sz w:val="24"/>
          <w:szCs w:val="24"/>
        </w:rPr>
      </w:pPr>
      <w:r w:rsidRPr="008B39E1">
        <w:rPr>
          <w:rFonts w:ascii="Times New Roman" w:hAnsi="Times New Roman" w:cs="Times New Roman"/>
          <w:b/>
          <w:bCs/>
          <w:sz w:val="24"/>
          <w:szCs w:val="24"/>
        </w:rPr>
        <w:t xml:space="preserve">Panel B: Relocation Distance </w:t>
      </w:r>
      <w:r w:rsidR="00985AD9" w:rsidRPr="008B39E1">
        <w:rPr>
          <w:rFonts w:ascii="Times New Roman" w:hAnsi="Times New Roman" w:cs="Times New Roman"/>
          <w:b/>
          <w:bCs/>
          <w:sz w:val="24"/>
          <w:szCs w:val="24"/>
        </w:rPr>
        <w:t>Greater Than or Equal to 50 miles</w:t>
      </w:r>
    </w:p>
    <w:p w14:paraId="4975D7D1" w14:textId="77777777" w:rsidR="008703B0" w:rsidRPr="008B39E1" w:rsidRDefault="008703B0" w:rsidP="000F0F5A">
      <w:pPr>
        <w:spacing w:after="0" w:line="240" w:lineRule="auto"/>
        <w:rPr>
          <w:rFonts w:ascii="Times New Roman" w:hAnsi="Times New Roman" w:cs="Times New Roman"/>
          <w:b/>
          <w:bCs/>
          <w:sz w:val="24"/>
          <w:szCs w:val="24"/>
        </w:rPr>
      </w:pPr>
    </w:p>
    <w:tbl>
      <w:tblPr>
        <w:tblW w:w="5000" w:type="pct"/>
        <w:tblLayout w:type="fixed"/>
        <w:tblLook w:val="04A0" w:firstRow="1" w:lastRow="0" w:firstColumn="1" w:lastColumn="0" w:noHBand="0" w:noVBand="1"/>
      </w:tblPr>
      <w:tblGrid>
        <w:gridCol w:w="2977"/>
        <w:gridCol w:w="272"/>
        <w:gridCol w:w="1019"/>
        <w:gridCol w:w="1018"/>
        <w:gridCol w:w="1020"/>
        <w:gridCol w:w="1018"/>
        <w:gridCol w:w="1018"/>
        <w:gridCol w:w="1018"/>
      </w:tblGrid>
      <w:tr w:rsidR="008703B0" w:rsidRPr="008B39E1" w14:paraId="0227638E" w14:textId="77777777" w:rsidTr="00702126">
        <w:trPr>
          <w:trHeight w:val="315"/>
        </w:trPr>
        <w:tc>
          <w:tcPr>
            <w:tcW w:w="1590" w:type="pct"/>
            <w:tcBorders>
              <w:top w:val="nil"/>
              <w:left w:val="nil"/>
              <w:bottom w:val="nil"/>
              <w:right w:val="nil"/>
            </w:tcBorders>
            <w:shd w:val="clear" w:color="auto" w:fill="auto"/>
            <w:noWrap/>
            <w:vAlign w:val="bottom"/>
            <w:hideMark/>
          </w:tcPr>
          <w:p w14:paraId="4BA1C9EA" w14:textId="77777777" w:rsidR="008703B0" w:rsidRPr="008B39E1" w:rsidRDefault="008703B0" w:rsidP="000F0F5A">
            <w:pPr>
              <w:spacing w:after="0" w:line="240" w:lineRule="auto"/>
              <w:ind w:firstLineChars="100" w:firstLine="200"/>
              <w:rPr>
                <w:rFonts w:ascii="Times New Roman" w:eastAsia="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hideMark/>
          </w:tcPr>
          <w:p w14:paraId="18CBEE47" w14:textId="77777777" w:rsidR="008703B0" w:rsidRPr="008B39E1" w:rsidRDefault="008703B0" w:rsidP="000F0F5A">
            <w:pPr>
              <w:spacing w:after="0" w:line="240" w:lineRule="auto"/>
              <w:ind w:firstLineChars="100" w:firstLine="200"/>
              <w:rPr>
                <w:rFonts w:ascii="Times New Roman" w:eastAsia="Times New Roman" w:hAnsi="Times New Roman" w:cs="Times New Roman"/>
                <w:color w:val="000000"/>
                <w:sz w:val="20"/>
                <w:szCs w:val="20"/>
              </w:rPr>
            </w:pPr>
          </w:p>
        </w:tc>
        <w:tc>
          <w:tcPr>
            <w:tcW w:w="3264" w:type="pct"/>
            <w:gridSpan w:val="6"/>
            <w:tcBorders>
              <w:top w:val="nil"/>
              <w:left w:val="nil"/>
              <w:bottom w:val="single" w:sz="4" w:space="0" w:color="auto"/>
              <w:right w:val="nil"/>
            </w:tcBorders>
            <w:shd w:val="clear" w:color="auto" w:fill="auto"/>
          </w:tcPr>
          <w:p w14:paraId="6280CC38" w14:textId="77777777" w:rsidR="008703B0" w:rsidRPr="008B39E1" w:rsidRDefault="008703B0" w:rsidP="000F0F5A">
            <w:pPr>
              <w:spacing w:after="0" w:line="240" w:lineRule="auto"/>
              <w:jc w:val="center"/>
              <w:rPr>
                <w:rFonts w:ascii="Times New Roman" w:eastAsia="Times New Roman" w:hAnsi="Times New Roman" w:cs="Times New Roman"/>
                <w:i/>
                <w:iCs/>
                <w:color w:val="000000"/>
                <w:sz w:val="20"/>
                <w:szCs w:val="20"/>
              </w:rPr>
            </w:pPr>
            <w:r w:rsidRPr="008B39E1">
              <w:rPr>
                <w:rFonts w:ascii="Times New Roman" w:eastAsia="Times New Roman" w:hAnsi="Times New Roman" w:cs="Times New Roman"/>
                <w:i/>
                <w:iCs/>
                <w:color w:val="000000"/>
                <w:sz w:val="20"/>
                <w:szCs w:val="20"/>
              </w:rPr>
              <w:t xml:space="preserve">Dependent Variable: </w:t>
            </w:r>
            <w:proofErr w:type="spellStart"/>
            <w:r w:rsidRPr="008B39E1">
              <w:rPr>
                <w:rFonts w:ascii="Times New Roman" w:eastAsia="Times New Roman" w:hAnsi="Times New Roman" w:cs="Times New Roman"/>
                <w:i/>
                <w:iCs/>
                <w:color w:val="000000"/>
                <w:sz w:val="20"/>
                <w:szCs w:val="20"/>
              </w:rPr>
              <w:t>ICINEFF</w:t>
            </w:r>
            <w:proofErr w:type="spellEnd"/>
          </w:p>
        </w:tc>
      </w:tr>
      <w:tr w:rsidR="001E775E" w:rsidRPr="008B39E1" w14:paraId="3F46F8B9" w14:textId="77777777" w:rsidTr="001E775E">
        <w:trPr>
          <w:trHeight w:val="315"/>
        </w:trPr>
        <w:tc>
          <w:tcPr>
            <w:tcW w:w="1590" w:type="pct"/>
            <w:tcBorders>
              <w:top w:val="nil"/>
              <w:left w:val="nil"/>
              <w:bottom w:val="single" w:sz="4" w:space="0" w:color="auto"/>
              <w:right w:val="nil"/>
            </w:tcBorders>
            <w:shd w:val="clear" w:color="auto" w:fill="auto"/>
            <w:noWrap/>
            <w:vAlign w:val="bottom"/>
          </w:tcPr>
          <w:p w14:paraId="7F7851E6"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45EACF1A" w14:textId="77777777" w:rsidR="001E775E" w:rsidRPr="008B39E1" w:rsidRDefault="001E775E" w:rsidP="000F0F5A">
            <w:pPr>
              <w:spacing w:after="0" w:line="240" w:lineRule="auto"/>
              <w:rPr>
                <w:rFonts w:ascii="Times New Roman" w:eastAsia="Times New Roman" w:hAnsi="Times New Roman" w:cs="Times New Roman"/>
                <w:color w:val="000000"/>
                <w:sz w:val="20"/>
                <w:szCs w:val="20"/>
              </w:rPr>
            </w:pPr>
          </w:p>
        </w:tc>
        <w:tc>
          <w:tcPr>
            <w:tcW w:w="1088" w:type="pct"/>
            <w:gridSpan w:val="2"/>
            <w:tcBorders>
              <w:top w:val="nil"/>
              <w:left w:val="nil"/>
              <w:bottom w:val="single" w:sz="4" w:space="0" w:color="auto"/>
              <w:right w:val="nil"/>
            </w:tcBorders>
            <w:shd w:val="clear" w:color="auto" w:fill="auto"/>
            <w:noWrap/>
          </w:tcPr>
          <w:p w14:paraId="1F6B9889" w14:textId="1E0C584B"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social capital</w:t>
            </w:r>
          </w:p>
        </w:tc>
        <w:tc>
          <w:tcPr>
            <w:tcW w:w="1089" w:type="pct"/>
            <w:gridSpan w:val="2"/>
            <w:tcBorders>
              <w:top w:val="nil"/>
              <w:left w:val="nil"/>
              <w:bottom w:val="single" w:sz="4" w:space="0" w:color="auto"/>
              <w:right w:val="nil"/>
            </w:tcBorders>
          </w:tcPr>
          <w:p w14:paraId="6B689DD8" w14:textId="5AA3F7DB"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Norms</w:t>
            </w:r>
          </w:p>
        </w:tc>
        <w:tc>
          <w:tcPr>
            <w:tcW w:w="1088" w:type="pct"/>
            <w:gridSpan w:val="2"/>
            <w:tcBorders>
              <w:top w:val="nil"/>
              <w:left w:val="nil"/>
              <w:bottom w:val="single" w:sz="4" w:space="0" w:color="auto"/>
              <w:right w:val="nil"/>
            </w:tcBorders>
          </w:tcPr>
          <w:p w14:paraId="68CA9870" w14:textId="0AA722C7" w:rsidR="001E775E" w:rsidRPr="008B39E1" w:rsidRDefault="001E775E"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Change in Network</w:t>
            </w:r>
            <w:r w:rsidR="003C11F0" w:rsidRPr="008B39E1">
              <w:rPr>
                <w:rFonts w:ascii="Times New Roman" w:eastAsia="Times New Roman" w:hAnsi="Times New Roman" w:cs="Times New Roman"/>
                <w:color w:val="000000"/>
                <w:sz w:val="20"/>
                <w:szCs w:val="20"/>
              </w:rPr>
              <w:t>s</w:t>
            </w:r>
          </w:p>
        </w:tc>
      </w:tr>
      <w:tr w:rsidR="008703B0" w:rsidRPr="008B39E1" w14:paraId="2F5B8C79" w14:textId="77777777" w:rsidTr="00702126">
        <w:trPr>
          <w:trHeight w:val="315"/>
        </w:trPr>
        <w:tc>
          <w:tcPr>
            <w:tcW w:w="1590" w:type="pct"/>
            <w:tcBorders>
              <w:top w:val="nil"/>
              <w:left w:val="nil"/>
              <w:bottom w:val="single" w:sz="4" w:space="0" w:color="auto"/>
              <w:right w:val="nil"/>
            </w:tcBorders>
            <w:shd w:val="clear" w:color="auto" w:fill="auto"/>
            <w:noWrap/>
            <w:vAlign w:val="bottom"/>
          </w:tcPr>
          <w:p w14:paraId="3C22DE95" w14:textId="77777777" w:rsidR="008703B0" w:rsidRPr="008B39E1" w:rsidRDefault="008703B0"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20C1C31D" w14:textId="77777777" w:rsidR="008703B0" w:rsidRPr="008B39E1" w:rsidRDefault="008703B0"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single" w:sz="4" w:space="0" w:color="auto"/>
              <w:right w:val="nil"/>
            </w:tcBorders>
            <w:shd w:val="clear" w:color="auto" w:fill="auto"/>
            <w:noWrap/>
          </w:tcPr>
          <w:p w14:paraId="4466F6DE"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(1)</w:t>
            </w:r>
          </w:p>
        </w:tc>
        <w:tc>
          <w:tcPr>
            <w:tcW w:w="544" w:type="pct"/>
            <w:tcBorders>
              <w:top w:val="nil"/>
              <w:left w:val="nil"/>
              <w:bottom w:val="single" w:sz="4" w:space="0" w:color="auto"/>
              <w:right w:val="nil"/>
            </w:tcBorders>
          </w:tcPr>
          <w:p w14:paraId="3D19797E"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(2)</w:t>
            </w:r>
          </w:p>
        </w:tc>
        <w:tc>
          <w:tcPr>
            <w:tcW w:w="545" w:type="pct"/>
            <w:tcBorders>
              <w:top w:val="nil"/>
              <w:left w:val="nil"/>
              <w:bottom w:val="single" w:sz="4" w:space="0" w:color="auto"/>
              <w:right w:val="nil"/>
            </w:tcBorders>
          </w:tcPr>
          <w:p w14:paraId="15569E42"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(3)</w:t>
            </w:r>
          </w:p>
        </w:tc>
        <w:tc>
          <w:tcPr>
            <w:tcW w:w="544" w:type="pct"/>
            <w:tcBorders>
              <w:top w:val="nil"/>
              <w:left w:val="nil"/>
              <w:bottom w:val="single" w:sz="4" w:space="0" w:color="auto"/>
              <w:right w:val="nil"/>
            </w:tcBorders>
          </w:tcPr>
          <w:p w14:paraId="37020865"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(4)</w:t>
            </w:r>
          </w:p>
        </w:tc>
        <w:tc>
          <w:tcPr>
            <w:tcW w:w="544" w:type="pct"/>
            <w:tcBorders>
              <w:top w:val="nil"/>
              <w:left w:val="nil"/>
              <w:bottom w:val="single" w:sz="4" w:space="0" w:color="auto"/>
              <w:right w:val="nil"/>
            </w:tcBorders>
          </w:tcPr>
          <w:p w14:paraId="6408C9EE"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(5)</w:t>
            </w:r>
          </w:p>
        </w:tc>
        <w:tc>
          <w:tcPr>
            <w:tcW w:w="544" w:type="pct"/>
            <w:tcBorders>
              <w:top w:val="nil"/>
              <w:left w:val="nil"/>
              <w:bottom w:val="single" w:sz="4" w:space="0" w:color="auto"/>
              <w:right w:val="nil"/>
            </w:tcBorders>
          </w:tcPr>
          <w:p w14:paraId="403794FD"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(6)</w:t>
            </w:r>
          </w:p>
        </w:tc>
      </w:tr>
      <w:tr w:rsidR="008703B0" w:rsidRPr="008B39E1" w14:paraId="52CCBB36" w14:textId="77777777" w:rsidTr="00702126">
        <w:trPr>
          <w:trHeight w:val="315"/>
        </w:trPr>
        <w:tc>
          <w:tcPr>
            <w:tcW w:w="1590" w:type="pct"/>
            <w:tcBorders>
              <w:top w:val="nil"/>
              <w:left w:val="nil"/>
              <w:bottom w:val="single" w:sz="4" w:space="0" w:color="auto"/>
              <w:right w:val="nil"/>
            </w:tcBorders>
            <w:shd w:val="clear" w:color="auto" w:fill="auto"/>
            <w:noWrap/>
            <w:vAlign w:val="bottom"/>
          </w:tcPr>
          <w:p w14:paraId="6628BA46" w14:textId="77777777" w:rsidR="008703B0" w:rsidRPr="008B39E1" w:rsidRDefault="008703B0"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single" w:sz="4" w:space="0" w:color="auto"/>
              <w:right w:val="nil"/>
            </w:tcBorders>
            <w:shd w:val="clear" w:color="auto" w:fill="auto"/>
            <w:noWrap/>
            <w:vAlign w:val="bottom"/>
          </w:tcPr>
          <w:p w14:paraId="437EF1BC" w14:textId="77777777" w:rsidR="008703B0" w:rsidRPr="008B39E1" w:rsidRDefault="008703B0"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single" w:sz="4" w:space="0" w:color="auto"/>
              <w:right w:val="nil"/>
            </w:tcBorders>
            <w:shd w:val="clear" w:color="auto" w:fill="auto"/>
            <w:noWrap/>
          </w:tcPr>
          <w:p w14:paraId="780C9F1F"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174162B3"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42741903"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7AF05377"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5" w:type="pct"/>
            <w:tcBorders>
              <w:top w:val="nil"/>
              <w:left w:val="nil"/>
              <w:bottom w:val="single" w:sz="4" w:space="0" w:color="auto"/>
              <w:right w:val="nil"/>
            </w:tcBorders>
          </w:tcPr>
          <w:p w14:paraId="70BEF217"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685A51EA"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6C057E0F"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29C1EF8D"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100FAF7F"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44CC4240"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c>
          <w:tcPr>
            <w:tcW w:w="544" w:type="pct"/>
            <w:tcBorders>
              <w:top w:val="nil"/>
              <w:left w:val="nil"/>
              <w:bottom w:val="single" w:sz="4" w:space="0" w:color="auto"/>
              <w:right w:val="nil"/>
            </w:tcBorders>
          </w:tcPr>
          <w:p w14:paraId="6B16640B"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Coeff</w:t>
            </w:r>
          </w:p>
          <w:p w14:paraId="5508EF2F"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(t-stats)</w:t>
            </w:r>
          </w:p>
        </w:tc>
      </w:tr>
      <w:tr w:rsidR="008703B0" w:rsidRPr="008B39E1" w14:paraId="3820651A" w14:textId="77777777" w:rsidTr="00702126">
        <w:trPr>
          <w:trHeight w:val="135"/>
        </w:trPr>
        <w:tc>
          <w:tcPr>
            <w:tcW w:w="1590" w:type="pct"/>
            <w:tcBorders>
              <w:top w:val="nil"/>
              <w:left w:val="nil"/>
              <w:bottom w:val="nil"/>
              <w:right w:val="nil"/>
            </w:tcBorders>
            <w:shd w:val="clear" w:color="auto" w:fill="auto"/>
            <w:noWrap/>
            <w:vAlign w:val="bottom"/>
            <w:hideMark/>
          </w:tcPr>
          <w:p w14:paraId="1336D7FE" w14:textId="77777777" w:rsidR="008703B0" w:rsidRPr="008B39E1" w:rsidRDefault="008703B0" w:rsidP="000F0F5A">
            <w:pPr>
              <w:spacing w:after="0" w:line="240" w:lineRule="auto"/>
              <w:rPr>
                <w:rFonts w:ascii="Times New Roman" w:eastAsia="Times New Roman" w:hAnsi="Times New Roman" w:cs="Times New Roman"/>
                <w:color w:val="000000"/>
                <w:sz w:val="20"/>
                <w:szCs w:val="20"/>
              </w:rPr>
            </w:pPr>
          </w:p>
        </w:tc>
        <w:tc>
          <w:tcPr>
            <w:tcW w:w="145" w:type="pct"/>
            <w:tcBorders>
              <w:top w:val="single" w:sz="4" w:space="0" w:color="auto"/>
              <w:left w:val="nil"/>
              <w:bottom w:val="nil"/>
              <w:right w:val="nil"/>
            </w:tcBorders>
            <w:shd w:val="clear" w:color="auto" w:fill="auto"/>
            <w:noWrap/>
            <w:vAlign w:val="bottom"/>
            <w:hideMark/>
          </w:tcPr>
          <w:p w14:paraId="3A08E8CA"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hideMark/>
          </w:tcPr>
          <w:p w14:paraId="02D76C19"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1D5A9EFA"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5" w:type="pct"/>
            <w:tcBorders>
              <w:top w:val="nil"/>
              <w:left w:val="nil"/>
              <w:bottom w:val="nil"/>
              <w:right w:val="nil"/>
            </w:tcBorders>
          </w:tcPr>
          <w:p w14:paraId="38919086"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43623BE5"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2AA0AA84"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tcPr>
          <w:p w14:paraId="70BA5A20" w14:textId="77777777" w:rsidR="008703B0" w:rsidRPr="008B39E1" w:rsidRDefault="008703B0" w:rsidP="000F0F5A">
            <w:pPr>
              <w:spacing w:after="0" w:line="240" w:lineRule="auto"/>
              <w:rPr>
                <w:rFonts w:ascii="Times New Roman" w:eastAsia="Times New Roman" w:hAnsi="Times New Roman" w:cs="Times New Roman"/>
                <w:sz w:val="20"/>
                <w:szCs w:val="20"/>
              </w:rPr>
            </w:pPr>
          </w:p>
        </w:tc>
      </w:tr>
      <w:tr w:rsidR="008703B0" w:rsidRPr="008B39E1" w14:paraId="794BB247" w14:textId="77777777" w:rsidTr="00702126">
        <w:trPr>
          <w:trHeight w:val="315"/>
        </w:trPr>
        <w:tc>
          <w:tcPr>
            <w:tcW w:w="1590" w:type="pct"/>
            <w:tcBorders>
              <w:top w:val="nil"/>
              <w:left w:val="nil"/>
              <w:bottom w:val="nil"/>
              <w:right w:val="nil"/>
            </w:tcBorders>
            <w:shd w:val="clear" w:color="auto" w:fill="auto"/>
            <w:noWrap/>
            <w:vAlign w:val="bottom"/>
            <w:hideMark/>
          </w:tcPr>
          <w:p w14:paraId="4DD36A70" w14:textId="040685BB" w:rsidR="008703B0" w:rsidRPr="008B39E1" w:rsidRDefault="008703B0" w:rsidP="000F0F5A">
            <w:pPr>
              <w:spacing w:after="0" w:line="240" w:lineRule="auto"/>
              <w:rPr>
                <w:rFonts w:ascii="Times New Roman" w:eastAsia="Times New Roman" w:hAnsi="Times New Roman" w:cs="Times New Roman"/>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xCHSC</w:t>
            </w:r>
            <w:proofErr w:type="spellEnd"/>
          </w:p>
        </w:tc>
        <w:tc>
          <w:tcPr>
            <w:tcW w:w="145" w:type="pct"/>
            <w:tcBorders>
              <w:top w:val="nil"/>
              <w:left w:val="nil"/>
              <w:bottom w:val="nil"/>
              <w:right w:val="nil"/>
            </w:tcBorders>
            <w:shd w:val="clear" w:color="auto" w:fill="auto"/>
            <w:noWrap/>
            <w:vAlign w:val="bottom"/>
            <w:hideMark/>
          </w:tcPr>
          <w:p w14:paraId="42A73C47" w14:textId="77777777" w:rsidR="008703B0" w:rsidRPr="008B39E1" w:rsidRDefault="008703B0"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nil"/>
              <w:right w:val="nil"/>
            </w:tcBorders>
            <w:shd w:val="clear" w:color="auto" w:fill="auto"/>
            <w:noWrap/>
            <w:vAlign w:val="bottom"/>
            <w:hideMark/>
          </w:tcPr>
          <w:p w14:paraId="24C057B8" w14:textId="12B4B6EB" w:rsidR="008703B0" w:rsidRPr="008B39E1" w:rsidRDefault="008703B0" w:rsidP="000F0F5A">
            <w:pPr>
              <w:spacing w:after="0" w:line="240" w:lineRule="auto"/>
              <w:jc w:val="center"/>
              <w:rPr>
                <w:rFonts w:ascii="Times New Roman" w:eastAsia="Times New Roman" w:hAnsi="Times New Roman" w:cs="Times New Roman"/>
                <w:sz w:val="20"/>
                <w:szCs w:val="20"/>
              </w:rPr>
            </w:pPr>
            <w:r w:rsidRPr="008B39E1">
              <w:rPr>
                <w:rFonts w:ascii="Times New Roman" w:hAnsi="Times New Roman" w:cs="Times New Roman"/>
                <w:b/>
                <w:bCs/>
                <w:color w:val="000000"/>
                <w:sz w:val="20"/>
                <w:szCs w:val="20"/>
              </w:rPr>
              <w:t>0.110***</w:t>
            </w:r>
          </w:p>
        </w:tc>
        <w:tc>
          <w:tcPr>
            <w:tcW w:w="544" w:type="pct"/>
            <w:tcBorders>
              <w:top w:val="nil"/>
              <w:left w:val="nil"/>
              <w:bottom w:val="nil"/>
              <w:right w:val="nil"/>
            </w:tcBorders>
            <w:vAlign w:val="bottom"/>
          </w:tcPr>
          <w:p w14:paraId="01F20537"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vAlign w:val="bottom"/>
          </w:tcPr>
          <w:p w14:paraId="3CBEBA84"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7C0621E2"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124EDA55"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761AB2D6"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r>
      <w:tr w:rsidR="008703B0" w:rsidRPr="008B39E1" w14:paraId="349E3908" w14:textId="77777777" w:rsidTr="00702126">
        <w:trPr>
          <w:trHeight w:val="315"/>
        </w:trPr>
        <w:tc>
          <w:tcPr>
            <w:tcW w:w="1590" w:type="pct"/>
            <w:tcBorders>
              <w:top w:val="nil"/>
              <w:left w:val="nil"/>
              <w:bottom w:val="nil"/>
              <w:right w:val="nil"/>
            </w:tcBorders>
            <w:shd w:val="clear" w:color="auto" w:fill="auto"/>
            <w:noWrap/>
            <w:vAlign w:val="bottom"/>
            <w:hideMark/>
          </w:tcPr>
          <w:p w14:paraId="6803356B" w14:textId="77777777" w:rsidR="008703B0" w:rsidRPr="008B39E1" w:rsidRDefault="008703B0" w:rsidP="000F0F5A">
            <w:pPr>
              <w:spacing w:after="0" w:line="240" w:lineRule="auto"/>
              <w:rPr>
                <w:rFonts w:ascii="Times New Roman" w:eastAsia="Times New Roman" w:hAnsi="Times New Roman" w:cs="Times New Roman"/>
                <w:i/>
                <w:iCs/>
                <w:sz w:val="20"/>
                <w:szCs w:val="20"/>
              </w:rPr>
            </w:pPr>
          </w:p>
        </w:tc>
        <w:tc>
          <w:tcPr>
            <w:tcW w:w="145" w:type="pct"/>
            <w:tcBorders>
              <w:top w:val="nil"/>
              <w:left w:val="nil"/>
              <w:bottom w:val="nil"/>
              <w:right w:val="nil"/>
            </w:tcBorders>
            <w:shd w:val="clear" w:color="auto" w:fill="auto"/>
            <w:noWrap/>
            <w:vAlign w:val="bottom"/>
            <w:hideMark/>
          </w:tcPr>
          <w:p w14:paraId="5E252BCD"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hideMark/>
          </w:tcPr>
          <w:p w14:paraId="530E40D2" w14:textId="7F2D207F" w:rsidR="008703B0" w:rsidRPr="008B39E1" w:rsidRDefault="008703B0" w:rsidP="000F0F5A">
            <w:pPr>
              <w:spacing w:after="0" w:line="240" w:lineRule="auto"/>
              <w:jc w:val="center"/>
              <w:rPr>
                <w:rFonts w:ascii="Times New Roman" w:eastAsia="Times New Roman" w:hAnsi="Times New Roman" w:cs="Times New Roman"/>
                <w:sz w:val="20"/>
                <w:szCs w:val="20"/>
              </w:rPr>
            </w:pPr>
            <w:r w:rsidRPr="008B39E1">
              <w:rPr>
                <w:rFonts w:ascii="Times New Roman" w:hAnsi="Times New Roman" w:cs="Times New Roman"/>
                <w:b/>
                <w:bCs/>
                <w:color w:val="000000"/>
                <w:sz w:val="20"/>
                <w:szCs w:val="20"/>
              </w:rPr>
              <w:t>(2.682)</w:t>
            </w:r>
          </w:p>
        </w:tc>
        <w:tc>
          <w:tcPr>
            <w:tcW w:w="544" w:type="pct"/>
            <w:tcBorders>
              <w:top w:val="nil"/>
              <w:left w:val="nil"/>
              <w:bottom w:val="nil"/>
              <w:right w:val="nil"/>
            </w:tcBorders>
            <w:vAlign w:val="bottom"/>
          </w:tcPr>
          <w:p w14:paraId="64D9A0F6"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vAlign w:val="bottom"/>
          </w:tcPr>
          <w:p w14:paraId="0C00F40F"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1B9F8C23"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52CFE664"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vAlign w:val="bottom"/>
          </w:tcPr>
          <w:p w14:paraId="0CC675B4"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r>
      <w:tr w:rsidR="008703B0" w:rsidRPr="008B39E1" w14:paraId="531B60B1" w14:textId="77777777" w:rsidTr="00702126">
        <w:trPr>
          <w:trHeight w:val="315"/>
        </w:trPr>
        <w:tc>
          <w:tcPr>
            <w:tcW w:w="1590" w:type="pct"/>
            <w:tcBorders>
              <w:top w:val="nil"/>
              <w:left w:val="nil"/>
              <w:bottom w:val="nil"/>
              <w:right w:val="nil"/>
            </w:tcBorders>
            <w:shd w:val="clear" w:color="auto" w:fill="auto"/>
            <w:noWrap/>
            <w:vAlign w:val="bottom"/>
            <w:hideMark/>
          </w:tcPr>
          <w:p w14:paraId="34FEBC0D" w14:textId="0944FA01" w:rsidR="008703B0" w:rsidRPr="008B39E1" w:rsidRDefault="008703B0" w:rsidP="000F0F5A">
            <w:pPr>
              <w:spacing w:after="0" w:line="240" w:lineRule="auto"/>
              <w:rPr>
                <w:rFonts w:ascii="Times New Roman" w:eastAsia="Times New Roman" w:hAnsi="Times New Roman" w:cs="Times New Roman"/>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xCHSCraw</w:t>
            </w:r>
            <w:proofErr w:type="spellEnd"/>
          </w:p>
        </w:tc>
        <w:tc>
          <w:tcPr>
            <w:tcW w:w="145" w:type="pct"/>
            <w:tcBorders>
              <w:top w:val="nil"/>
              <w:left w:val="nil"/>
              <w:bottom w:val="nil"/>
              <w:right w:val="nil"/>
            </w:tcBorders>
            <w:shd w:val="clear" w:color="auto" w:fill="auto"/>
            <w:noWrap/>
            <w:vAlign w:val="bottom"/>
            <w:hideMark/>
          </w:tcPr>
          <w:p w14:paraId="2B8117E4" w14:textId="77777777" w:rsidR="008703B0" w:rsidRPr="008B39E1" w:rsidRDefault="008703B0" w:rsidP="000F0F5A">
            <w:pPr>
              <w:spacing w:after="0" w:line="240" w:lineRule="auto"/>
              <w:rPr>
                <w:rFonts w:ascii="Times New Roman" w:eastAsia="Times New Roman" w:hAnsi="Times New Roman" w:cs="Times New Roman"/>
                <w:color w:val="000000"/>
                <w:sz w:val="20"/>
                <w:szCs w:val="20"/>
              </w:rPr>
            </w:pPr>
          </w:p>
        </w:tc>
        <w:tc>
          <w:tcPr>
            <w:tcW w:w="544" w:type="pct"/>
            <w:tcBorders>
              <w:top w:val="nil"/>
              <w:left w:val="nil"/>
              <w:bottom w:val="nil"/>
              <w:right w:val="nil"/>
            </w:tcBorders>
            <w:shd w:val="clear" w:color="auto" w:fill="auto"/>
            <w:noWrap/>
            <w:vAlign w:val="bottom"/>
            <w:hideMark/>
          </w:tcPr>
          <w:p w14:paraId="127E3F27" w14:textId="77777777" w:rsidR="008703B0" w:rsidRPr="008B39E1" w:rsidRDefault="008703B0" w:rsidP="000F0F5A">
            <w:pPr>
              <w:spacing w:after="0" w:line="240" w:lineRule="auto"/>
              <w:jc w:val="center"/>
              <w:rPr>
                <w:rFonts w:ascii="Times New Roman" w:eastAsia="Times New Roman" w:hAnsi="Times New Roman" w:cs="Times New Roman"/>
                <w:b/>
                <w:bCs/>
                <w:color w:val="000000"/>
                <w:sz w:val="20"/>
                <w:szCs w:val="20"/>
              </w:rPr>
            </w:pPr>
          </w:p>
        </w:tc>
        <w:tc>
          <w:tcPr>
            <w:tcW w:w="544" w:type="pct"/>
            <w:tcBorders>
              <w:top w:val="nil"/>
              <w:left w:val="nil"/>
              <w:bottom w:val="nil"/>
              <w:right w:val="nil"/>
            </w:tcBorders>
            <w:vAlign w:val="bottom"/>
          </w:tcPr>
          <w:p w14:paraId="10496CEC" w14:textId="425C9EF5"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0.081**</w:t>
            </w:r>
          </w:p>
        </w:tc>
        <w:tc>
          <w:tcPr>
            <w:tcW w:w="545" w:type="pct"/>
            <w:tcBorders>
              <w:top w:val="nil"/>
              <w:left w:val="nil"/>
              <w:bottom w:val="nil"/>
              <w:right w:val="nil"/>
            </w:tcBorders>
            <w:vAlign w:val="bottom"/>
          </w:tcPr>
          <w:p w14:paraId="6BE46496"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3F3B9F1"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8311850"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E7E6CA8"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r>
      <w:tr w:rsidR="008703B0" w:rsidRPr="008B39E1" w14:paraId="699EE8AA" w14:textId="77777777" w:rsidTr="00702126">
        <w:trPr>
          <w:trHeight w:val="315"/>
        </w:trPr>
        <w:tc>
          <w:tcPr>
            <w:tcW w:w="1590" w:type="pct"/>
            <w:tcBorders>
              <w:top w:val="nil"/>
              <w:left w:val="nil"/>
              <w:bottom w:val="nil"/>
              <w:right w:val="nil"/>
            </w:tcBorders>
            <w:shd w:val="clear" w:color="auto" w:fill="auto"/>
            <w:noWrap/>
            <w:vAlign w:val="bottom"/>
            <w:hideMark/>
          </w:tcPr>
          <w:p w14:paraId="5C594349" w14:textId="77777777" w:rsidR="008703B0" w:rsidRPr="008B39E1" w:rsidRDefault="008703B0"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hideMark/>
          </w:tcPr>
          <w:p w14:paraId="67773151"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hideMark/>
          </w:tcPr>
          <w:p w14:paraId="62ABDC8C" w14:textId="77777777" w:rsidR="008703B0" w:rsidRPr="008B39E1" w:rsidRDefault="008703B0" w:rsidP="000F0F5A">
            <w:pPr>
              <w:spacing w:after="0" w:line="240" w:lineRule="auto"/>
              <w:jc w:val="center"/>
              <w:rPr>
                <w:rFonts w:ascii="Times New Roman" w:eastAsia="Times New Roman" w:hAnsi="Times New Roman" w:cs="Times New Roman"/>
                <w:sz w:val="20"/>
                <w:szCs w:val="20"/>
              </w:rPr>
            </w:pPr>
          </w:p>
        </w:tc>
        <w:tc>
          <w:tcPr>
            <w:tcW w:w="544" w:type="pct"/>
            <w:tcBorders>
              <w:top w:val="nil"/>
              <w:left w:val="nil"/>
              <w:bottom w:val="nil"/>
              <w:right w:val="nil"/>
            </w:tcBorders>
            <w:vAlign w:val="bottom"/>
          </w:tcPr>
          <w:p w14:paraId="7638C4D1" w14:textId="3226998D"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(1.973)</w:t>
            </w:r>
          </w:p>
        </w:tc>
        <w:tc>
          <w:tcPr>
            <w:tcW w:w="545" w:type="pct"/>
            <w:tcBorders>
              <w:top w:val="nil"/>
              <w:left w:val="nil"/>
              <w:bottom w:val="nil"/>
              <w:right w:val="nil"/>
            </w:tcBorders>
            <w:vAlign w:val="bottom"/>
          </w:tcPr>
          <w:p w14:paraId="7AE37D95"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455C07B"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8C5F231"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CE934E5"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r>
      <w:tr w:rsidR="008703B0" w:rsidRPr="008B39E1" w14:paraId="2D74782C" w14:textId="77777777" w:rsidTr="00702126">
        <w:trPr>
          <w:trHeight w:val="315"/>
        </w:trPr>
        <w:tc>
          <w:tcPr>
            <w:tcW w:w="1590" w:type="pct"/>
            <w:tcBorders>
              <w:top w:val="nil"/>
              <w:left w:val="nil"/>
              <w:bottom w:val="nil"/>
              <w:right w:val="nil"/>
            </w:tcBorders>
            <w:shd w:val="clear" w:color="auto" w:fill="auto"/>
            <w:noWrap/>
            <w:vAlign w:val="bottom"/>
          </w:tcPr>
          <w:p w14:paraId="1050B9CC" w14:textId="3637AC24" w:rsidR="008703B0" w:rsidRPr="008B39E1" w:rsidRDefault="008703B0"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xCHNORMS</w:t>
            </w:r>
            <w:proofErr w:type="spellEnd"/>
          </w:p>
        </w:tc>
        <w:tc>
          <w:tcPr>
            <w:tcW w:w="145" w:type="pct"/>
            <w:tcBorders>
              <w:top w:val="nil"/>
              <w:left w:val="nil"/>
              <w:bottom w:val="nil"/>
              <w:right w:val="nil"/>
            </w:tcBorders>
            <w:shd w:val="clear" w:color="auto" w:fill="auto"/>
            <w:noWrap/>
            <w:vAlign w:val="bottom"/>
          </w:tcPr>
          <w:p w14:paraId="03F47A24"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54FE5EF0"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D8D0F4E"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6790EF50" w14:textId="03F8B503"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0.574***</w:t>
            </w:r>
          </w:p>
        </w:tc>
        <w:tc>
          <w:tcPr>
            <w:tcW w:w="544" w:type="pct"/>
            <w:tcBorders>
              <w:top w:val="nil"/>
              <w:left w:val="nil"/>
              <w:bottom w:val="nil"/>
              <w:right w:val="nil"/>
            </w:tcBorders>
            <w:vAlign w:val="bottom"/>
          </w:tcPr>
          <w:p w14:paraId="3E39B0F2"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646086F"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7BE5FF9"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r>
      <w:tr w:rsidR="008703B0" w:rsidRPr="008B39E1" w14:paraId="2E82C5B8" w14:textId="77777777" w:rsidTr="00702126">
        <w:trPr>
          <w:trHeight w:val="315"/>
        </w:trPr>
        <w:tc>
          <w:tcPr>
            <w:tcW w:w="1590" w:type="pct"/>
            <w:tcBorders>
              <w:top w:val="nil"/>
              <w:left w:val="nil"/>
              <w:bottom w:val="nil"/>
              <w:right w:val="nil"/>
            </w:tcBorders>
            <w:shd w:val="clear" w:color="auto" w:fill="auto"/>
            <w:noWrap/>
            <w:vAlign w:val="bottom"/>
          </w:tcPr>
          <w:p w14:paraId="683309F9" w14:textId="77777777" w:rsidR="008703B0" w:rsidRPr="008B39E1" w:rsidRDefault="008703B0"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09127512"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421DE53"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25AE520"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3414E7B3" w14:textId="284F448A"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(3.076)</w:t>
            </w:r>
          </w:p>
        </w:tc>
        <w:tc>
          <w:tcPr>
            <w:tcW w:w="544" w:type="pct"/>
            <w:tcBorders>
              <w:top w:val="nil"/>
              <w:left w:val="nil"/>
              <w:bottom w:val="nil"/>
              <w:right w:val="nil"/>
            </w:tcBorders>
            <w:vAlign w:val="bottom"/>
          </w:tcPr>
          <w:p w14:paraId="21098729"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592EE2A"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0C7728F"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r>
      <w:tr w:rsidR="008703B0" w:rsidRPr="008B39E1" w14:paraId="4D6C7091" w14:textId="77777777" w:rsidTr="00702126">
        <w:trPr>
          <w:trHeight w:val="315"/>
        </w:trPr>
        <w:tc>
          <w:tcPr>
            <w:tcW w:w="1590" w:type="pct"/>
            <w:tcBorders>
              <w:top w:val="nil"/>
              <w:left w:val="nil"/>
              <w:bottom w:val="nil"/>
              <w:right w:val="nil"/>
            </w:tcBorders>
            <w:shd w:val="clear" w:color="auto" w:fill="auto"/>
            <w:noWrap/>
            <w:vAlign w:val="bottom"/>
          </w:tcPr>
          <w:p w14:paraId="69E801BA" w14:textId="10D3A843" w:rsidR="008703B0" w:rsidRPr="008B39E1" w:rsidRDefault="008703B0"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xNORMSraw</w:t>
            </w:r>
            <w:proofErr w:type="spellEnd"/>
          </w:p>
        </w:tc>
        <w:tc>
          <w:tcPr>
            <w:tcW w:w="145" w:type="pct"/>
            <w:tcBorders>
              <w:top w:val="nil"/>
              <w:left w:val="nil"/>
              <w:bottom w:val="nil"/>
              <w:right w:val="nil"/>
            </w:tcBorders>
            <w:shd w:val="clear" w:color="auto" w:fill="auto"/>
            <w:noWrap/>
            <w:vAlign w:val="bottom"/>
          </w:tcPr>
          <w:p w14:paraId="04972D44"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36B0445F"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33BD2F8"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4919417F"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68F270F6" w14:textId="578A14C0"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0.001</w:t>
            </w:r>
          </w:p>
        </w:tc>
        <w:tc>
          <w:tcPr>
            <w:tcW w:w="544" w:type="pct"/>
            <w:tcBorders>
              <w:top w:val="nil"/>
              <w:left w:val="nil"/>
              <w:bottom w:val="nil"/>
              <w:right w:val="nil"/>
            </w:tcBorders>
            <w:vAlign w:val="bottom"/>
          </w:tcPr>
          <w:p w14:paraId="37E486AD"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550F779C"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r>
      <w:tr w:rsidR="008703B0" w:rsidRPr="008B39E1" w14:paraId="75B14D1C" w14:textId="77777777" w:rsidTr="00702126">
        <w:trPr>
          <w:trHeight w:val="315"/>
        </w:trPr>
        <w:tc>
          <w:tcPr>
            <w:tcW w:w="1590" w:type="pct"/>
            <w:tcBorders>
              <w:top w:val="nil"/>
              <w:left w:val="nil"/>
              <w:bottom w:val="nil"/>
              <w:right w:val="nil"/>
            </w:tcBorders>
            <w:shd w:val="clear" w:color="auto" w:fill="auto"/>
            <w:noWrap/>
            <w:vAlign w:val="bottom"/>
          </w:tcPr>
          <w:p w14:paraId="54273CCC" w14:textId="77777777" w:rsidR="008703B0" w:rsidRPr="008B39E1" w:rsidRDefault="008703B0"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00543AF3"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3A6631C7"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D906D4B"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28BDC1D8"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2C24F04" w14:textId="3F0429C9"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(0.651)</w:t>
            </w:r>
          </w:p>
        </w:tc>
        <w:tc>
          <w:tcPr>
            <w:tcW w:w="544" w:type="pct"/>
            <w:tcBorders>
              <w:top w:val="nil"/>
              <w:left w:val="nil"/>
              <w:bottom w:val="nil"/>
              <w:right w:val="nil"/>
            </w:tcBorders>
            <w:vAlign w:val="bottom"/>
          </w:tcPr>
          <w:p w14:paraId="435E143C"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B3B1C17"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r>
      <w:tr w:rsidR="008703B0" w:rsidRPr="008B39E1" w14:paraId="256F868B" w14:textId="77777777" w:rsidTr="00702126">
        <w:trPr>
          <w:trHeight w:val="315"/>
        </w:trPr>
        <w:tc>
          <w:tcPr>
            <w:tcW w:w="1590" w:type="pct"/>
            <w:tcBorders>
              <w:top w:val="nil"/>
              <w:left w:val="nil"/>
              <w:bottom w:val="nil"/>
              <w:right w:val="nil"/>
            </w:tcBorders>
            <w:shd w:val="clear" w:color="auto" w:fill="auto"/>
            <w:noWrap/>
            <w:vAlign w:val="bottom"/>
          </w:tcPr>
          <w:p w14:paraId="2DE81233" w14:textId="22EADB3F" w:rsidR="008703B0" w:rsidRPr="008B39E1" w:rsidRDefault="008703B0"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xCHNETW</w:t>
            </w:r>
            <w:proofErr w:type="spellEnd"/>
          </w:p>
        </w:tc>
        <w:tc>
          <w:tcPr>
            <w:tcW w:w="145" w:type="pct"/>
            <w:tcBorders>
              <w:top w:val="nil"/>
              <w:left w:val="nil"/>
              <w:bottom w:val="nil"/>
              <w:right w:val="nil"/>
            </w:tcBorders>
            <w:shd w:val="clear" w:color="auto" w:fill="auto"/>
            <w:noWrap/>
            <w:vAlign w:val="bottom"/>
          </w:tcPr>
          <w:p w14:paraId="3B0EFF13"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495C5FDB"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7D63A3C"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7084FC4A"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38CFA3AF"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0C753B5" w14:textId="7F4E0524"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0.114</w:t>
            </w:r>
          </w:p>
        </w:tc>
        <w:tc>
          <w:tcPr>
            <w:tcW w:w="544" w:type="pct"/>
            <w:tcBorders>
              <w:top w:val="nil"/>
              <w:left w:val="nil"/>
              <w:bottom w:val="nil"/>
              <w:right w:val="nil"/>
            </w:tcBorders>
            <w:vAlign w:val="bottom"/>
          </w:tcPr>
          <w:p w14:paraId="49E30625"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r>
      <w:tr w:rsidR="008703B0" w:rsidRPr="008B39E1" w14:paraId="372E3603" w14:textId="77777777" w:rsidTr="00702126">
        <w:trPr>
          <w:trHeight w:val="315"/>
        </w:trPr>
        <w:tc>
          <w:tcPr>
            <w:tcW w:w="1590" w:type="pct"/>
            <w:tcBorders>
              <w:top w:val="nil"/>
              <w:left w:val="nil"/>
              <w:bottom w:val="nil"/>
              <w:right w:val="nil"/>
            </w:tcBorders>
            <w:shd w:val="clear" w:color="auto" w:fill="auto"/>
            <w:noWrap/>
            <w:vAlign w:val="bottom"/>
          </w:tcPr>
          <w:p w14:paraId="428958D0" w14:textId="77777777" w:rsidR="008703B0" w:rsidRPr="008B39E1" w:rsidRDefault="008703B0"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2A2106FE"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50161989"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ADE7FBF"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44D7C091"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4035005"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E21A563" w14:textId="73A9060F"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(0.756)</w:t>
            </w:r>
          </w:p>
        </w:tc>
        <w:tc>
          <w:tcPr>
            <w:tcW w:w="544" w:type="pct"/>
            <w:tcBorders>
              <w:top w:val="nil"/>
              <w:left w:val="nil"/>
              <w:bottom w:val="nil"/>
              <w:right w:val="nil"/>
            </w:tcBorders>
            <w:vAlign w:val="bottom"/>
          </w:tcPr>
          <w:p w14:paraId="5BD28B13"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r>
      <w:tr w:rsidR="008703B0" w:rsidRPr="008B39E1" w14:paraId="1B7231D4" w14:textId="77777777" w:rsidTr="00702126">
        <w:trPr>
          <w:trHeight w:val="315"/>
        </w:trPr>
        <w:tc>
          <w:tcPr>
            <w:tcW w:w="1590" w:type="pct"/>
            <w:tcBorders>
              <w:top w:val="nil"/>
              <w:left w:val="nil"/>
              <w:bottom w:val="nil"/>
              <w:right w:val="nil"/>
            </w:tcBorders>
            <w:shd w:val="clear" w:color="auto" w:fill="auto"/>
            <w:noWrap/>
            <w:vAlign w:val="bottom"/>
          </w:tcPr>
          <w:p w14:paraId="02DAF054" w14:textId="77777777" w:rsidR="008703B0" w:rsidRPr="008B39E1" w:rsidRDefault="008703B0"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POSTxMOVERxNETWraw</w:t>
            </w:r>
            <w:proofErr w:type="spellEnd"/>
          </w:p>
        </w:tc>
        <w:tc>
          <w:tcPr>
            <w:tcW w:w="145" w:type="pct"/>
            <w:tcBorders>
              <w:top w:val="nil"/>
              <w:left w:val="nil"/>
              <w:bottom w:val="nil"/>
              <w:right w:val="nil"/>
            </w:tcBorders>
            <w:shd w:val="clear" w:color="auto" w:fill="auto"/>
            <w:noWrap/>
            <w:vAlign w:val="bottom"/>
          </w:tcPr>
          <w:p w14:paraId="244274D3"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4887FE0"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239E67DA"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0F02E7DF"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D860909"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A1592DC"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48AFCDAD" w14:textId="41FA61C8"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0.004**</w:t>
            </w:r>
          </w:p>
        </w:tc>
      </w:tr>
      <w:tr w:rsidR="008703B0" w:rsidRPr="008B39E1" w14:paraId="00784F72" w14:textId="77777777" w:rsidTr="00702126">
        <w:trPr>
          <w:trHeight w:val="315"/>
        </w:trPr>
        <w:tc>
          <w:tcPr>
            <w:tcW w:w="1590" w:type="pct"/>
            <w:tcBorders>
              <w:top w:val="nil"/>
              <w:left w:val="nil"/>
              <w:bottom w:val="nil"/>
              <w:right w:val="nil"/>
            </w:tcBorders>
            <w:shd w:val="clear" w:color="auto" w:fill="auto"/>
            <w:noWrap/>
            <w:vAlign w:val="bottom"/>
          </w:tcPr>
          <w:p w14:paraId="06EE4C8A" w14:textId="77777777" w:rsidR="008703B0" w:rsidRPr="008B39E1" w:rsidRDefault="008703B0" w:rsidP="000F0F5A">
            <w:pPr>
              <w:spacing w:after="0" w:line="240" w:lineRule="auto"/>
              <w:rPr>
                <w:rFonts w:ascii="Times New Roman" w:eastAsia="Times New Roman" w:hAnsi="Times New Roman" w:cs="Times New Roman"/>
                <w:b/>
                <w:bCs/>
                <w:i/>
                <w:iCs/>
                <w:color w:val="000000"/>
                <w:sz w:val="20"/>
                <w:szCs w:val="20"/>
              </w:rPr>
            </w:pPr>
          </w:p>
        </w:tc>
        <w:tc>
          <w:tcPr>
            <w:tcW w:w="145" w:type="pct"/>
            <w:tcBorders>
              <w:top w:val="nil"/>
              <w:left w:val="nil"/>
              <w:bottom w:val="nil"/>
              <w:right w:val="nil"/>
            </w:tcBorders>
            <w:shd w:val="clear" w:color="auto" w:fill="auto"/>
            <w:noWrap/>
            <w:vAlign w:val="bottom"/>
          </w:tcPr>
          <w:p w14:paraId="7EFAF849"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7D140486"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3FE7A33"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5" w:type="pct"/>
            <w:tcBorders>
              <w:top w:val="nil"/>
              <w:left w:val="nil"/>
              <w:bottom w:val="nil"/>
              <w:right w:val="nil"/>
            </w:tcBorders>
            <w:vAlign w:val="bottom"/>
          </w:tcPr>
          <w:p w14:paraId="54A2B132"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0074ADA0"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17357A2A" w14:textId="77777777" w:rsidR="008703B0" w:rsidRPr="008B39E1" w:rsidRDefault="008703B0" w:rsidP="000F0F5A">
            <w:pPr>
              <w:spacing w:after="0" w:line="240" w:lineRule="auto"/>
              <w:jc w:val="center"/>
              <w:rPr>
                <w:rFonts w:ascii="Times New Roman" w:hAnsi="Times New Roman" w:cs="Times New Roman"/>
                <w:color w:val="000000"/>
                <w:sz w:val="20"/>
                <w:szCs w:val="20"/>
              </w:rPr>
            </w:pPr>
          </w:p>
        </w:tc>
        <w:tc>
          <w:tcPr>
            <w:tcW w:w="544" w:type="pct"/>
            <w:tcBorders>
              <w:top w:val="nil"/>
              <w:left w:val="nil"/>
              <w:bottom w:val="nil"/>
              <w:right w:val="nil"/>
            </w:tcBorders>
            <w:vAlign w:val="bottom"/>
          </w:tcPr>
          <w:p w14:paraId="799C6915" w14:textId="5D0A15EB"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b/>
                <w:bCs/>
                <w:color w:val="000000"/>
                <w:sz w:val="20"/>
                <w:szCs w:val="20"/>
              </w:rPr>
              <w:t>(2.386)</w:t>
            </w:r>
          </w:p>
        </w:tc>
      </w:tr>
      <w:tr w:rsidR="008703B0" w:rsidRPr="008B39E1" w14:paraId="5499AA6C" w14:textId="77777777" w:rsidTr="00702126">
        <w:trPr>
          <w:trHeight w:val="117"/>
        </w:trPr>
        <w:tc>
          <w:tcPr>
            <w:tcW w:w="1590" w:type="pct"/>
            <w:tcBorders>
              <w:top w:val="nil"/>
              <w:left w:val="nil"/>
              <w:bottom w:val="nil"/>
              <w:right w:val="nil"/>
            </w:tcBorders>
            <w:shd w:val="clear" w:color="auto" w:fill="auto"/>
            <w:noWrap/>
            <w:vAlign w:val="bottom"/>
          </w:tcPr>
          <w:p w14:paraId="228C6736" w14:textId="26E9CF9D" w:rsidR="008703B0" w:rsidRPr="008B39E1" w:rsidRDefault="008703B0" w:rsidP="000F0F5A">
            <w:pPr>
              <w:spacing w:after="0" w:line="240" w:lineRule="auto"/>
              <w:rPr>
                <w:rFonts w:ascii="Times New Roman" w:eastAsia="Times New Roman" w:hAnsi="Times New Roman" w:cs="Times New Roman"/>
                <w:b/>
                <w:bCs/>
                <w:i/>
                <w:iCs/>
                <w:color w:val="000000"/>
                <w:sz w:val="20"/>
                <w:szCs w:val="20"/>
              </w:rPr>
            </w:pPr>
            <w:proofErr w:type="spellStart"/>
            <w:r w:rsidRPr="008B39E1">
              <w:rPr>
                <w:rFonts w:ascii="Times New Roman" w:hAnsi="Times New Roman" w:cs="Times New Roman"/>
                <w:i/>
                <w:iCs/>
                <w:color w:val="000000"/>
                <w:sz w:val="20"/>
                <w:szCs w:val="20"/>
              </w:rPr>
              <w:t>POSTx</w:t>
            </w:r>
            <w:r w:rsidR="00D147A1" w:rsidRPr="008B39E1">
              <w:rPr>
                <w:rFonts w:ascii="Times New Roman" w:hAnsi="Times New Roman" w:cs="Times New Roman"/>
                <w:i/>
                <w:iCs/>
                <w:color w:val="000000"/>
                <w:sz w:val="20"/>
                <w:szCs w:val="20"/>
              </w:rPr>
              <w:t>RELOCATE</w:t>
            </w:r>
            <w:r w:rsidRPr="008B39E1">
              <w:rPr>
                <w:rFonts w:ascii="Times New Roman" w:hAnsi="Times New Roman" w:cs="Times New Roman"/>
                <w:i/>
                <w:iCs/>
                <w:color w:val="000000"/>
                <w:sz w:val="20"/>
                <w:szCs w:val="20"/>
              </w:rPr>
              <w:t>xNO_CHSC</w:t>
            </w:r>
            <w:proofErr w:type="spellEnd"/>
          </w:p>
        </w:tc>
        <w:tc>
          <w:tcPr>
            <w:tcW w:w="145" w:type="pct"/>
            <w:tcBorders>
              <w:top w:val="nil"/>
              <w:left w:val="nil"/>
              <w:bottom w:val="nil"/>
              <w:right w:val="nil"/>
            </w:tcBorders>
            <w:shd w:val="clear" w:color="auto" w:fill="auto"/>
            <w:noWrap/>
            <w:vAlign w:val="bottom"/>
          </w:tcPr>
          <w:p w14:paraId="7F604F31"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2CCB0892" w14:textId="475734F8"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-0.050</w:t>
            </w:r>
          </w:p>
        </w:tc>
        <w:tc>
          <w:tcPr>
            <w:tcW w:w="544" w:type="pct"/>
            <w:tcBorders>
              <w:top w:val="nil"/>
              <w:left w:val="nil"/>
              <w:bottom w:val="nil"/>
              <w:right w:val="nil"/>
            </w:tcBorders>
            <w:vAlign w:val="bottom"/>
          </w:tcPr>
          <w:p w14:paraId="04148B5B" w14:textId="1BDFD405"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-0.087</w:t>
            </w:r>
          </w:p>
        </w:tc>
        <w:tc>
          <w:tcPr>
            <w:tcW w:w="545" w:type="pct"/>
            <w:tcBorders>
              <w:top w:val="nil"/>
              <w:left w:val="nil"/>
              <w:bottom w:val="nil"/>
              <w:right w:val="nil"/>
            </w:tcBorders>
            <w:vAlign w:val="bottom"/>
          </w:tcPr>
          <w:p w14:paraId="2332CC05" w14:textId="41111316"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0.338*</w:t>
            </w:r>
          </w:p>
        </w:tc>
        <w:tc>
          <w:tcPr>
            <w:tcW w:w="544" w:type="pct"/>
            <w:tcBorders>
              <w:top w:val="nil"/>
              <w:left w:val="nil"/>
              <w:bottom w:val="nil"/>
              <w:right w:val="nil"/>
            </w:tcBorders>
            <w:vAlign w:val="bottom"/>
          </w:tcPr>
          <w:p w14:paraId="6EC9AADD" w14:textId="30C6BDC8"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-0.139</w:t>
            </w:r>
          </w:p>
        </w:tc>
        <w:tc>
          <w:tcPr>
            <w:tcW w:w="544" w:type="pct"/>
            <w:tcBorders>
              <w:top w:val="nil"/>
              <w:left w:val="nil"/>
              <w:bottom w:val="nil"/>
              <w:right w:val="nil"/>
            </w:tcBorders>
            <w:vAlign w:val="bottom"/>
          </w:tcPr>
          <w:p w14:paraId="49ACD253" w14:textId="5A87EA2C"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-0.052</w:t>
            </w:r>
          </w:p>
        </w:tc>
        <w:tc>
          <w:tcPr>
            <w:tcW w:w="544" w:type="pct"/>
            <w:tcBorders>
              <w:top w:val="nil"/>
              <w:left w:val="nil"/>
              <w:bottom w:val="nil"/>
              <w:right w:val="nil"/>
            </w:tcBorders>
            <w:vAlign w:val="bottom"/>
          </w:tcPr>
          <w:p w14:paraId="060DA5AE" w14:textId="5A8608C4"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-0.081</w:t>
            </w:r>
          </w:p>
        </w:tc>
      </w:tr>
      <w:tr w:rsidR="008703B0" w:rsidRPr="008B39E1" w14:paraId="1EDC3FBE" w14:textId="77777777" w:rsidTr="00702126">
        <w:trPr>
          <w:trHeight w:val="117"/>
        </w:trPr>
        <w:tc>
          <w:tcPr>
            <w:tcW w:w="1590" w:type="pct"/>
            <w:tcBorders>
              <w:top w:val="nil"/>
              <w:left w:val="nil"/>
              <w:bottom w:val="nil"/>
              <w:right w:val="nil"/>
            </w:tcBorders>
            <w:shd w:val="clear" w:color="auto" w:fill="auto"/>
            <w:noWrap/>
            <w:vAlign w:val="bottom"/>
          </w:tcPr>
          <w:p w14:paraId="262BE380" w14:textId="77777777" w:rsidR="008703B0" w:rsidRPr="008B39E1" w:rsidRDefault="008703B0" w:rsidP="000F0F5A">
            <w:pPr>
              <w:spacing w:after="0" w:line="240" w:lineRule="auto"/>
              <w:rPr>
                <w:rFonts w:ascii="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tcPr>
          <w:p w14:paraId="7CC37F69"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72FBDE25" w14:textId="3ED11FB8"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(-0.414)</w:t>
            </w:r>
          </w:p>
        </w:tc>
        <w:tc>
          <w:tcPr>
            <w:tcW w:w="544" w:type="pct"/>
            <w:tcBorders>
              <w:top w:val="nil"/>
              <w:left w:val="nil"/>
              <w:bottom w:val="nil"/>
              <w:right w:val="nil"/>
            </w:tcBorders>
            <w:vAlign w:val="bottom"/>
          </w:tcPr>
          <w:p w14:paraId="43862D26" w14:textId="4D9139AA"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(-0.704)</w:t>
            </w:r>
          </w:p>
        </w:tc>
        <w:tc>
          <w:tcPr>
            <w:tcW w:w="545" w:type="pct"/>
            <w:tcBorders>
              <w:top w:val="nil"/>
              <w:left w:val="nil"/>
              <w:bottom w:val="nil"/>
              <w:right w:val="nil"/>
            </w:tcBorders>
            <w:vAlign w:val="bottom"/>
          </w:tcPr>
          <w:p w14:paraId="0D7EE073" w14:textId="4C23B6C6"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(1.801)</w:t>
            </w:r>
          </w:p>
        </w:tc>
        <w:tc>
          <w:tcPr>
            <w:tcW w:w="544" w:type="pct"/>
            <w:tcBorders>
              <w:top w:val="nil"/>
              <w:left w:val="nil"/>
              <w:bottom w:val="nil"/>
              <w:right w:val="nil"/>
            </w:tcBorders>
            <w:vAlign w:val="bottom"/>
          </w:tcPr>
          <w:p w14:paraId="577566DB" w14:textId="38105642"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(-1.120)</w:t>
            </w:r>
          </w:p>
        </w:tc>
        <w:tc>
          <w:tcPr>
            <w:tcW w:w="544" w:type="pct"/>
            <w:tcBorders>
              <w:top w:val="nil"/>
              <w:left w:val="nil"/>
              <w:bottom w:val="nil"/>
              <w:right w:val="nil"/>
            </w:tcBorders>
            <w:vAlign w:val="bottom"/>
          </w:tcPr>
          <w:p w14:paraId="4DF7B98C" w14:textId="0EC8E9E1"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(-0.274)</w:t>
            </w:r>
          </w:p>
        </w:tc>
        <w:tc>
          <w:tcPr>
            <w:tcW w:w="544" w:type="pct"/>
            <w:tcBorders>
              <w:top w:val="nil"/>
              <w:left w:val="nil"/>
              <w:bottom w:val="nil"/>
              <w:right w:val="nil"/>
            </w:tcBorders>
            <w:vAlign w:val="bottom"/>
          </w:tcPr>
          <w:p w14:paraId="33960F78" w14:textId="27750A30"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(-0.667)</w:t>
            </w:r>
          </w:p>
        </w:tc>
      </w:tr>
      <w:tr w:rsidR="008703B0" w:rsidRPr="008B39E1" w14:paraId="13C54A48" w14:textId="77777777" w:rsidTr="00702126">
        <w:trPr>
          <w:trHeight w:val="117"/>
        </w:trPr>
        <w:tc>
          <w:tcPr>
            <w:tcW w:w="1590" w:type="pct"/>
            <w:tcBorders>
              <w:top w:val="nil"/>
              <w:left w:val="nil"/>
              <w:bottom w:val="nil"/>
              <w:right w:val="nil"/>
            </w:tcBorders>
            <w:shd w:val="clear" w:color="auto" w:fill="auto"/>
            <w:noWrap/>
            <w:vAlign w:val="bottom"/>
          </w:tcPr>
          <w:p w14:paraId="02862B00" w14:textId="77777777" w:rsidR="008703B0" w:rsidRPr="008B39E1" w:rsidRDefault="008703B0" w:rsidP="000F0F5A">
            <w:pPr>
              <w:spacing w:after="0" w:line="240" w:lineRule="auto"/>
              <w:rPr>
                <w:rFonts w:ascii="Times New Roman" w:hAnsi="Times New Roman" w:cs="Times New Roman"/>
                <w:color w:val="000000"/>
                <w:sz w:val="20"/>
                <w:szCs w:val="20"/>
              </w:rPr>
            </w:pPr>
          </w:p>
        </w:tc>
        <w:tc>
          <w:tcPr>
            <w:tcW w:w="145" w:type="pct"/>
            <w:tcBorders>
              <w:top w:val="nil"/>
              <w:left w:val="nil"/>
              <w:bottom w:val="nil"/>
              <w:right w:val="nil"/>
            </w:tcBorders>
            <w:shd w:val="clear" w:color="auto" w:fill="auto"/>
            <w:noWrap/>
            <w:vAlign w:val="bottom"/>
          </w:tcPr>
          <w:p w14:paraId="702C63B5"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71FA063F"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1FCE9A98"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5" w:type="pct"/>
            <w:tcBorders>
              <w:top w:val="nil"/>
              <w:left w:val="nil"/>
              <w:bottom w:val="nil"/>
              <w:right w:val="nil"/>
            </w:tcBorders>
          </w:tcPr>
          <w:p w14:paraId="540D8EDC"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272E7F5D"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3DD8ECC6"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c>
          <w:tcPr>
            <w:tcW w:w="544" w:type="pct"/>
            <w:tcBorders>
              <w:top w:val="nil"/>
              <w:left w:val="nil"/>
              <w:bottom w:val="nil"/>
              <w:right w:val="nil"/>
            </w:tcBorders>
          </w:tcPr>
          <w:p w14:paraId="4600478A"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p>
        </w:tc>
      </w:tr>
      <w:tr w:rsidR="008703B0" w:rsidRPr="008B39E1" w14:paraId="0236E07C" w14:textId="77777777" w:rsidTr="00702126">
        <w:trPr>
          <w:trHeight w:val="315"/>
        </w:trPr>
        <w:tc>
          <w:tcPr>
            <w:tcW w:w="1590" w:type="pct"/>
            <w:tcBorders>
              <w:top w:val="nil"/>
              <w:left w:val="nil"/>
              <w:bottom w:val="nil"/>
              <w:right w:val="nil"/>
            </w:tcBorders>
            <w:shd w:val="clear" w:color="auto" w:fill="auto"/>
            <w:noWrap/>
            <w:vAlign w:val="bottom"/>
          </w:tcPr>
          <w:p w14:paraId="12BF7B22" w14:textId="77777777" w:rsidR="008703B0" w:rsidRPr="008B39E1" w:rsidRDefault="008703B0"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Controls</w:t>
            </w:r>
          </w:p>
        </w:tc>
        <w:tc>
          <w:tcPr>
            <w:tcW w:w="145" w:type="pct"/>
            <w:tcBorders>
              <w:top w:val="nil"/>
              <w:left w:val="nil"/>
              <w:bottom w:val="nil"/>
              <w:right w:val="nil"/>
            </w:tcBorders>
            <w:shd w:val="clear" w:color="auto" w:fill="auto"/>
            <w:noWrap/>
            <w:vAlign w:val="bottom"/>
          </w:tcPr>
          <w:p w14:paraId="56E38C0F"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72810AF1"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5B8DA42E"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5" w:type="pct"/>
            <w:tcBorders>
              <w:top w:val="nil"/>
              <w:left w:val="nil"/>
              <w:bottom w:val="nil"/>
              <w:right w:val="nil"/>
            </w:tcBorders>
            <w:vAlign w:val="center"/>
          </w:tcPr>
          <w:p w14:paraId="63E05073"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2F7B4084"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2666E1A5"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c>
          <w:tcPr>
            <w:tcW w:w="544" w:type="pct"/>
            <w:tcBorders>
              <w:top w:val="nil"/>
              <w:left w:val="nil"/>
              <w:bottom w:val="nil"/>
              <w:right w:val="nil"/>
            </w:tcBorders>
            <w:vAlign w:val="center"/>
          </w:tcPr>
          <w:p w14:paraId="53EB3AAD"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Yes</w:t>
            </w:r>
          </w:p>
        </w:tc>
      </w:tr>
      <w:tr w:rsidR="008703B0" w:rsidRPr="008B39E1" w14:paraId="4AB26675" w14:textId="77777777" w:rsidTr="00702126">
        <w:trPr>
          <w:trHeight w:val="315"/>
        </w:trPr>
        <w:tc>
          <w:tcPr>
            <w:tcW w:w="1590" w:type="pct"/>
            <w:tcBorders>
              <w:top w:val="nil"/>
              <w:left w:val="nil"/>
              <w:bottom w:val="nil"/>
              <w:right w:val="nil"/>
            </w:tcBorders>
            <w:shd w:val="clear" w:color="auto" w:fill="auto"/>
            <w:noWrap/>
            <w:vAlign w:val="bottom"/>
          </w:tcPr>
          <w:p w14:paraId="0E4E9C2A" w14:textId="77777777" w:rsidR="008703B0" w:rsidRPr="008B39E1" w:rsidRDefault="008703B0"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Fixed Effects</w:t>
            </w:r>
          </w:p>
        </w:tc>
        <w:tc>
          <w:tcPr>
            <w:tcW w:w="145" w:type="pct"/>
            <w:tcBorders>
              <w:top w:val="nil"/>
              <w:left w:val="nil"/>
              <w:bottom w:val="nil"/>
              <w:right w:val="nil"/>
            </w:tcBorders>
            <w:shd w:val="clear" w:color="auto" w:fill="auto"/>
            <w:noWrap/>
            <w:vAlign w:val="bottom"/>
          </w:tcPr>
          <w:p w14:paraId="78C9A3B1"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6A99A320"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2313FD23"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5" w:type="pct"/>
            <w:tcBorders>
              <w:top w:val="nil"/>
              <w:left w:val="nil"/>
              <w:bottom w:val="nil"/>
              <w:right w:val="nil"/>
            </w:tcBorders>
            <w:vAlign w:val="center"/>
          </w:tcPr>
          <w:p w14:paraId="50E2DA84"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29E5D9A3"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71DB1A54"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c>
          <w:tcPr>
            <w:tcW w:w="544" w:type="pct"/>
            <w:tcBorders>
              <w:top w:val="nil"/>
              <w:left w:val="nil"/>
              <w:bottom w:val="nil"/>
              <w:right w:val="nil"/>
            </w:tcBorders>
            <w:vAlign w:val="center"/>
          </w:tcPr>
          <w:p w14:paraId="7D8DF9BB" w14:textId="77777777" w:rsidR="008703B0" w:rsidRPr="008B39E1" w:rsidRDefault="008703B0" w:rsidP="000F0F5A">
            <w:pPr>
              <w:spacing w:after="0" w:line="240" w:lineRule="auto"/>
              <w:jc w:val="center"/>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Industry, Year</w:t>
            </w:r>
          </w:p>
        </w:tc>
      </w:tr>
      <w:tr w:rsidR="008703B0" w:rsidRPr="008B39E1" w14:paraId="47ECF242" w14:textId="77777777" w:rsidTr="00702126">
        <w:trPr>
          <w:trHeight w:val="315"/>
        </w:trPr>
        <w:tc>
          <w:tcPr>
            <w:tcW w:w="1590" w:type="pct"/>
            <w:tcBorders>
              <w:top w:val="nil"/>
              <w:left w:val="nil"/>
              <w:bottom w:val="nil"/>
              <w:right w:val="nil"/>
            </w:tcBorders>
            <w:shd w:val="clear" w:color="auto" w:fill="auto"/>
            <w:noWrap/>
            <w:vAlign w:val="bottom"/>
          </w:tcPr>
          <w:p w14:paraId="39116328" w14:textId="77777777" w:rsidR="008703B0" w:rsidRPr="008B39E1" w:rsidRDefault="008703B0"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Clustered SE</w:t>
            </w:r>
          </w:p>
        </w:tc>
        <w:tc>
          <w:tcPr>
            <w:tcW w:w="145" w:type="pct"/>
            <w:tcBorders>
              <w:top w:val="nil"/>
              <w:left w:val="nil"/>
              <w:bottom w:val="nil"/>
              <w:right w:val="nil"/>
            </w:tcBorders>
            <w:shd w:val="clear" w:color="auto" w:fill="auto"/>
            <w:noWrap/>
            <w:vAlign w:val="bottom"/>
          </w:tcPr>
          <w:p w14:paraId="6B15C866"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center"/>
          </w:tcPr>
          <w:p w14:paraId="3DB5ED36" w14:textId="77777777"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075A09B6"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5" w:type="pct"/>
            <w:tcBorders>
              <w:top w:val="nil"/>
              <w:left w:val="nil"/>
              <w:bottom w:val="nil"/>
              <w:right w:val="nil"/>
            </w:tcBorders>
            <w:vAlign w:val="center"/>
          </w:tcPr>
          <w:p w14:paraId="24333D79"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5CCA00D4"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4C8EB5DB"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c>
          <w:tcPr>
            <w:tcW w:w="544" w:type="pct"/>
            <w:tcBorders>
              <w:top w:val="nil"/>
              <w:left w:val="nil"/>
              <w:bottom w:val="nil"/>
              <w:right w:val="nil"/>
            </w:tcBorders>
            <w:vAlign w:val="center"/>
          </w:tcPr>
          <w:p w14:paraId="19E38188"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Firm</w:t>
            </w:r>
          </w:p>
        </w:tc>
      </w:tr>
      <w:tr w:rsidR="008703B0" w:rsidRPr="008B39E1" w14:paraId="4FEF9E67" w14:textId="77777777" w:rsidTr="00702126">
        <w:trPr>
          <w:trHeight w:val="315"/>
        </w:trPr>
        <w:tc>
          <w:tcPr>
            <w:tcW w:w="1590" w:type="pct"/>
            <w:tcBorders>
              <w:top w:val="nil"/>
              <w:left w:val="nil"/>
              <w:bottom w:val="nil"/>
              <w:right w:val="nil"/>
            </w:tcBorders>
            <w:shd w:val="clear" w:color="auto" w:fill="auto"/>
            <w:noWrap/>
            <w:vAlign w:val="bottom"/>
          </w:tcPr>
          <w:p w14:paraId="68169C20" w14:textId="77777777" w:rsidR="008703B0" w:rsidRPr="008B39E1" w:rsidRDefault="008703B0" w:rsidP="000F0F5A">
            <w:pPr>
              <w:spacing w:after="0" w:line="240" w:lineRule="auto"/>
              <w:rPr>
                <w:rFonts w:ascii="Times New Roman" w:hAnsi="Times New Roman" w:cs="Times New Roman"/>
                <w:color w:val="000000"/>
                <w:sz w:val="20"/>
                <w:szCs w:val="20"/>
              </w:rPr>
            </w:pPr>
            <w:r w:rsidRPr="008B39E1">
              <w:rPr>
                <w:rFonts w:ascii="Times New Roman" w:hAnsi="Times New Roman" w:cs="Times New Roman"/>
                <w:color w:val="000000"/>
                <w:sz w:val="20"/>
                <w:szCs w:val="20"/>
              </w:rPr>
              <w:t>F-test</w:t>
            </w:r>
          </w:p>
        </w:tc>
        <w:tc>
          <w:tcPr>
            <w:tcW w:w="145" w:type="pct"/>
            <w:tcBorders>
              <w:top w:val="nil"/>
              <w:left w:val="nil"/>
              <w:bottom w:val="nil"/>
              <w:right w:val="nil"/>
            </w:tcBorders>
            <w:shd w:val="clear" w:color="auto" w:fill="auto"/>
            <w:noWrap/>
            <w:vAlign w:val="bottom"/>
          </w:tcPr>
          <w:p w14:paraId="467062C6" w14:textId="77777777" w:rsidR="008703B0" w:rsidRPr="008B39E1" w:rsidRDefault="008703B0"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nil"/>
              <w:right w:val="nil"/>
            </w:tcBorders>
            <w:shd w:val="clear" w:color="auto" w:fill="auto"/>
            <w:noWrap/>
            <w:vAlign w:val="bottom"/>
          </w:tcPr>
          <w:p w14:paraId="608A1607" w14:textId="4D70CB53"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1.82</w:t>
            </w:r>
          </w:p>
        </w:tc>
        <w:tc>
          <w:tcPr>
            <w:tcW w:w="544" w:type="pct"/>
            <w:tcBorders>
              <w:top w:val="nil"/>
              <w:left w:val="nil"/>
              <w:bottom w:val="nil"/>
              <w:right w:val="nil"/>
            </w:tcBorders>
            <w:vAlign w:val="bottom"/>
          </w:tcPr>
          <w:p w14:paraId="2C7BEB0D"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c>
          <w:tcPr>
            <w:tcW w:w="545" w:type="pct"/>
            <w:tcBorders>
              <w:top w:val="nil"/>
              <w:left w:val="nil"/>
              <w:bottom w:val="nil"/>
              <w:right w:val="nil"/>
            </w:tcBorders>
            <w:vAlign w:val="bottom"/>
          </w:tcPr>
          <w:p w14:paraId="28F529C4" w14:textId="471F0789" w:rsidR="008703B0" w:rsidRPr="008B39E1" w:rsidRDefault="008703B0"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b/>
                <w:bCs/>
                <w:color w:val="000000"/>
                <w:sz w:val="20"/>
                <w:szCs w:val="20"/>
              </w:rPr>
              <w:t>12.80***</w:t>
            </w:r>
          </w:p>
        </w:tc>
        <w:tc>
          <w:tcPr>
            <w:tcW w:w="544" w:type="pct"/>
            <w:tcBorders>
              <w:top w:val="nil"/>
              <w:left w:val="nil"/>
              <w:bottom w:val="nil"/>
              <w:right w:val="nil"/>
            </w:tcBorders>
            <w:vAlign w:val="bottom"/>
          </w:tcPr>
          <w:p w14:paraId="60500816"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c>
          <w:tcPr>
            <w:tcW w:w="544" w:type="pct"/>
            <w:tcBorders>
              <w:top w:val="nil"/>
              <w:left w:val="nil"/>
              <w:bottom w:val="nil"/>
              <w:right w:val="nil"/>
            </w:tcBorders>
            <w:vAlign w:val="bottom"/>
          </w:tcPr>
          <w:p w14:paraId="7953238F" w14:textId="3539F1FA"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1.96</w:t>
            </w:r>
          </w:p>
        </w:tc>
        <w:tc>
          <w:tcPr>
            <w:tcW w:w="544" w:type="pct"/>
            <w:tcBorders>
              <w:top w:val="nil"/>
              <w:left w:val="nil"/>
              <w:bottom w:val="nil"/>
              <w:right w:val="nil"/>
            </w:tcBorders>
            <w:vAlign w:val="bottom"/>
          </w:tcPr>
          <w:p w14:paraId="0588108D" w14:textId="77777777" w:rsidR="008703B0" w:rsidRPr="008B39E1" w:rsidRDefault="008703B0"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NA</w:t>
            </w:r>
          </w:p>
        </w:tc>
      </w:tr>
      <w:tr w:rsidR="00944194" w:rsidRPr="008B39E1" w14:paraId="1F04710A" w14:textId="77777777" w:rsidTr="00702126">
        <w:trPr>
          <w:trHeight w:val="315"/>
        </w:trPr>
        <w:tc>
          <w:tcPr>
            <w:tcW w:w="1590" w:type="pct"/>
            <w:tcBorders>
              <w:top w:val="nil"/>
              <w:left w:val="nil"/>
              <w:right w:val="nil"/>
            </w:tcBorders>
            <w:shd w:val="clear" w:color="auto" w:fill="auto"/>
            <w:noWrap/>
            <w:vAlign w:val="bottom"/>
          </w:tcPr>
          <w:p w14:paraId="369CC390" w14:textId="77777777" w:rsidR="00944194" w:rsidRPr="008B39E1" w:rsidRDefault="00944194"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N</w:t>
            </w:r>
          </w:p>
        </w:tc>
        <w:tc>
          <w:tcPr>
            <w:tcW w:w="145" w:type="pct"/>
            <w:tcBorders>
              <w:top w:val="nil"/>
              <w:left w:val="nil"/>
              <w:right w:val="nil"/>
            </w:tcBorders>
            <w:shd w:val="clear" w:color="auto" w:fill="auto"/>
            <w:noWrap/>
            <w:vAlign w:val="bottom"/>
          </w:tcPr>
          <w:p w14:paraId="3707459A" w14:textId="77777777" w:rsidR="00944194" w:rsidRPr="008B39E1" w:rsidRDefault="00944194" w:rsidP="000F0F5A">
            <w:pPr>
              <w:spacing w:after="0" w:line="240" w:lineRule="auto"/>
              <w:rPr>
                <w:rFonts w:ascii="Times New Roman" w:eastAsia="Times New Roman" w:hAnsi="Times New Roman" w:cs="Times New Roman"/>
                <w:sz w:val="20"/>
                <w:szCs w:val="20"/>
              </w:rPr>
            </w:pPr>
          </w:p>
        </w:tc>
        <w:tc>
          <w:tcPr>
            <w:tcW w:w="544" w:type="pct"/>
            <w:tcBorders>
              <w:top w:val="nil"/>
              <w:left w:val="nil"/>
              <w:right w:val="nil"/>
            </w:tcBorders>
            <w:shd w:val="clear" w:color="auto" w:fill="auto"/>
            <w:noWrap/>
            <w:vAlign w:val="bottom"/>
          </w:tcPr>
          <w:p w14:paraId="2D05FA11" w14:textId="2E6DF0B2" w:rsidR="00944194" w:rsidRPr="008B39E1" w:rsidRDefault="00944194"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1</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981</w:t>
            </w:r>
          </w:p>
        </w:tc>
        <w:tc>
          <w:tcPr>
            <w:tcW w:w="544" w:type="pct"/>
            <w:tcBorders>
              <w:top w:val="nil"/>
              <w:left w:val="nil"/>
              <w:right w:val="nil"/>
            </w:tcBorders>
            <w:vAlign w:val="bottom"/>
          </w:tcPr>
          <w:p w14:paraId="59571ED6" w14:textId="0A94B580" w:rsidR="00944194" w:rsidRPr="008B39E1" w:rsidRDefault="0094419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981</w:t>
            </w:r>
          </w:p>
        </w:tc>
        <w:tc>
          <w:tcPr>
            <w:tcW w:w="545" w:type="pct"/>
            <w:tcBorders>
              <w:top w:val="nil"/>
              <w:left w:val="nil"/>
              <w:right w:val="nil"/>
            </w:tcBorders>
            <w:vAlign w:val="bottom"/>
          </w:tcPr>
          <w:p w14:paraId="7E46EE93" w14:textId="7323F3C4" w:rsidR="00944194" w:rsidRPr="008B39E1" w:rsidRDefault="0094419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981</w:t>
            </w:r>
          </w:p>
        </w:tc>
        <w:tc>
          <w:tcPr>
            <w:tcW w:w="544" w:type="pct"/>
            <w:tcBorders>
              <w:top w:val="nil"/>
              <w:left w:val="nil"/>
              <w:right w:val="nil"/>
            </w:tcBorders>
            <w:vAlign w:val="bottom"/>
          </w:tcPr>
          <w:p w14:paraId="023B80C1" w14:textId="6B2B05EA" w:rsidR="00944194" w:rsidRPr="008B39E1" w:rsidRDefault="0094419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981</w:t>
            </w:r>
          </w:p>
        </w:tc>
        <w:tc>
          <w:tcPr>
            <w:tcW w:w="544" w:type="pct"/>
            <w:tcBorders>
              <w:top w:val="nil"/>
              <w:left w:val="nil"/>
              <w:right w:val="nil"/>
            </w:tcBorders>
            <w:vAlign w:val="bottom"/>
          </w:tcPr>
          <w:p w14:paraId="3FC72FA0" w14:textId="2E777B2F" w:rsidR="00944194" w:rsidRPr="008B39E1" w:rsidRDefault="0094419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981</w:t>
            </w:r>
          </w:p>
        </w:tc>
        <w:tc>
          <w:tcPr>
            <w:tcW w:w="544" w:type="pct"/>
            <w:tcBorders>
              <w:top w:val="nil"/>
              <w:left w:val="nil"/>
              <w:right w:val="nil"/>
            </w:tcBorders>
            <w:vAlign w:val="bottom"/>
          </w:tcPr>
          <w:p w14:paraId="577AD9DA" w14:textId="540F9C19" w:rsidR="00944194" w:rsidRPr="008B39E1" w:rsidRDefault="0094419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1</w:t>
            </w:r>
            <w:r w:rsidR="006C37C1" w:rsidRPr="008B39E1">
              <w:rPr>
                <w:rFonts w:ascii="Times New Roman" w:hAnsi="Times New Roman" w:cs="Times New Roman"/>
                <w:color w:val="000000"/>
                <w:sz w:val="20"/>
                <w:szCs w:val="20"/>
              </w:rPr>
              <w:t>,</w:t>
            </w:r>
            <w:r w:rsidRPr="008B39E1">
              <w:rPr>
                <w:rFonts w:ascii="Times New Roman" w:hAnsi="Times New Roman" w:cs="Times New Roman"/>
                <w:color w:val="000000"/>
                <w:sz w:val="20"/>
                <w:szCs w:val="20"/>
              </w:rPr>
              <w:t>981</w:t>
            </w:r>
          </w:p>
        </w:tc>
      </w:tr>
      <w:tr w:rsidR="00944194" w:rsidRPr="008B39E1" w14:paraId="1E73F34D" w14:textId="77777777" w:rsidTr="00702126">
        <w:trPr>
          <w:trHeight w:val="315"/>
        </w:trPr>
        <w:tc>
          <w:tcPr>
            <w:tcW w:w="1590" w:type="pct"/>
            <w:tcBorders>
              <w:top w:val="nil"/>
              <w:left w:val="nil"/>
              <w:bottom w:val="single" w:sz="4" w:space="0" w:color="auto"/>
              <w:right w:val="nil"/>
            </w:tcBorders>
            <w:shd w:val="clear" w:color="auto" w:fill="auto"/>
            <w:noWrap/>
            <w:vAlign w:val="bottom"/>
          </w:tcPr>
          <w:p w14:paraId="0871553E" w14:textId="77777777" w:rsidR="00944194" w:rsidRPr="008B39E1" w:rsidRDefault="00944194" w:rsidP="000F0F5A">
            <w:pPr>
              <w:spacing w:after="0" w:line="240" w:lineRule="auto"/>
              <w:rPr>
                <w:rFonts w:ascii="Times New Roman" w:eastAsia="Times New Roman" w:hAnsi="Times New Roman" w:cs="Times New Roman"/>
                <w:b/>
                <w:bCs/>
                <w:color w:val="000000"/>
                <w:sz w:val="20"/>
                <w:szCs w:val="20"/>
              </w:rPr>
            </w:pPr>
            <w:r w:rsidRPr="008B39E1">
              <w:rPr>
                <w:rFonts w:ascii="Times New Roman" w:hAnsi="Times New Roman" w:cs="Times New Roman"/>
                <w:color w:val="000000"/>
                <w:sz w:val="20"/>
                <w:szCs w:val="20"/>
              </w:rPr>
              <w:t>Adj-</w:t>
            </w:r>
            <w:r w:rsidRPr="008B39E1">
              <w:rPr>
                <w:rFonts w:ascii="Times New Roman" w:eastAsia="Times New Roman" w:hAnsi="Times New Roman" w:cs="Times New Roman"/>
                <w:color w:val="000000"/>
                <w:sz w:val="20"/>
                <w:szCs w:val="20"/>
              </w:rPr>
              <w:t xml:space="preserve"> R</w:t>
            </w:r>
            <w:r w:rsidRPr="008B39E1">
              <w:rPr>
                <w:rFonts w:ascii="Times New Roman" w:eastAsia="Times New Roman" w:hAnsi="Times New Roman" w:cs="Times New Roman"/>
                <w:color w:val="000000"/>
                <w:sz w:val="20"/>
                <w:szCs w:val="20"/>
                <w:vertAlign w:val="superscript"/>
              </w:rPr>
              <w:t>2</w:t>
            </w:r>
          </w:p>
        </w:tc>
        <w:tc>
          <w:tcPr>
            <w:tcW w:w="145" w:type="pct"/>
            <w:tcBorders>
              <w:top w:val="nil"/>
              <w:left w:val="nil"/>
              <w:bottom w:val="single" w:sz="4" w:space="0" w:color="auto"/>
              <w:right w:val="nil"/>
            </w:tcBorders>
            <w:shd w:val="clear" w:color="auto" w:fill="auto"/>
            <w:noWrap/>
            <w:vAlign w:val="bottom"/>
          </w:tcPr>
          <w:p w14:paraId="7EDFDF5F" w14:textId="77777777" w:rsidR="00944194" w:rsidRPr="008B39E1" w:rsidRDefault="00944194" w:rsidP="000F0F5A">
            <w:pPr>
              <w:spacing w:after="0" w:line="240" w:lineRule="auto"/>
              <w:rPr>
                <w:rFonts w:ascii="Times New Roman" w:eastAsia="Times New Roman" w:hAnsi="Times New Roman" w:cs="Times New Roman"/>
                <w:sz w:val="20"/>
                <w:szCs w:val="20"/>
              </w:rPr>
            </w:pPr>
          </w:p>
        </w:tc>
        <w:tc>
          <w:tcPr>
            <w:tcW w:w="544" w:type="pct"/>
            <w:tcBorders>
              <w:top w:val="nil"/>
              <w:left w:val="nil"/>
              <w:bottom w:val="single" w:sz="4" w:space="0" w:color="auto"/>
              <w:right w:val="nil"/>
            </w:tcBorders>
            <w:shd w:val="clear" w:color="auto" w:fill="auto"/>
            <w:noWrap/>
            <w:vAlign w:val="bottom"/>
          </w:tcPr>
          <w:p w14:paraId="6D893406" w14:textId="6B86ED21" w:rsidR="00944194" w:rsidRPr="008B39E1" w:rsidRDefault="00944194" w:rsidP="000F0F5A">
            <w:pPr>
              <w:spacing w:after="0" w:line="240" w:lineRule="auto"/>
              <w:jc w:val="center"/>
              <w:rPr>
                <w:rFonts w:ascii="Times New Roman" w:hAnsi="Times New Roman" w:cs="Times New Roman"/>
                <w:b/>
                <w:bCs/>
                <w:color w:val="000000"/>
                <w:sz w:val="20"/>
                <w:szCs w:val="20"/>
              </w:rPr>
            </w:pPr>
            <w:r w:rsidRPr="008B39E1">
              <w:rPr>
                <w:rFonts w:ascii="Times New Roman" w:hAnsi="Times New Roman" w:cs="Times New Roman"/>
                <w:color w:val="000000"/>
                <w:sz w:val="20"/>
                <w:szCs w:val="20"/>
              </w:rPr>
              <w:t>0.249</w:t>
            </w:r>
          </w:p>
        </w:tc>
        <w:tc>
          <w:tcPr>
            <w:tcW w:w="544" w:type="pct"/>
            <w:tcBorders>
              <w:top w:val="nil"/>
              <w:left w:val="nil"/>
              <w:bottom w:val="single" w:sz="4" w:space="0" w:color="auto"/>
              <w:right w:val="nil"/>
            </w:tcBorders>
            <w:vAlign w:val="bottom"/>
          </w:tcPr>
          <w:p w14:paraId="439DB567" w14:textId="7326F9E5" w:rsidR="00944194" w:rsidRPr="008B39E1" w:rsidRDefault="0094419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0.251</w:t>
            </w:r>
          </w:p>
        </w:tc>
        <w:tc>
          <w:tcPr>
            <w:tcW w:w="545" w:type="pct"/>
            <w:tcBorders>
              <w:top w:val="nil"/>
              <w:left w:val="nil"/>
              <w:bottom w:val="single" w:sz="4" w:space="0" w:color="auto"/>
              <w:right w:val="nil"/>
            </w:tcBorders>
            <w:vAlign w:val="bottom"/>
          </w:tcPr>
          <w:p w14:paraId="14450790" w14:textId="739C323B" w:rsidR="00944194" w:rsidRPr="008B39E1" w:rsidRDefault="0094419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0.251</w:t>
            </w:r>
          </w:p>
        </w:tc>
        <w:tc>
          <w:tcPr>
            <w:tcW w:w="544" w:type="pct"/>
            <w:tcBorders>
              <w:top w:val="nil"/>
              <w:left w:val="nil"/>
              <w:bottom w:val="single" w:sz="4" w:space="0" w:color="auto"/>
              <w:right w:val="nil"/>
            </w:tcBorders>
            <w:vAlign w:val="bottom"/>
          </w:tcPr>
          <w:p w14:paraId="373FDC4E" w14:textId="147D3CB0" w:rsidR="00944194" w:rsidRPr="008B39E1" w:rsidRDefault="0094419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0.249</w:t>
            </w:r>
          </w:p>
        </w:tc>
        <w:tc>
          <w:tcPr>
            <w:tcW w:w="544" w:type="pct"/>
            <w:tcBorders>
              <w:top w:val="nil"/>
              <w:left w:val="nil"/>
              <w:bottom w:val="single" w:sz="4" w:space="0" w:color="auto"/>
              <w:right w:val="nil"/>
            </w:tcBorders>
            <w:vAlign w:val="bottom"/>
          </w:tcPr>
          <w:p w14:paraId="27F370A2" w14:textId="141CDE8E" w:rsidR="00944194" w:rsidRPr="008B39E1" w:rsidRDefault="0094419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0.249</w:t>
            </w:r>
          </w:p>
        </w:tc>
        <w:tc>
          <w:tcPr>
            <w:tcW w:w="544" w:type="pct"/>
            <w:tcBorders>
              <w:top w:val="nil"/>
              <w:left w:val="nil"/>
              <w:bottom w:val="single" w:sz="4" w:space="0" w:color="auto"/>
              <w:right w:val="nil"/>
            </w:tcBorders>
            <w:vAlign w:val="bottom"/>
          </w:tcPr>
          <w:p w14:paraId="4134B797" w14:textId="3EDD8D1D" w:rsidR="00944194" w:rsidRPr="008B39E1" w:rsidRDefault="00944194" w:rsidP="000F0F5A">
            <w:pPr>
              <w:spacing w:after="0" w:line="240" w:lineRule="auto"/>
              <w:jc w:val="center"/>
              <w:rPr>
                <w:rFonts w:ascii="Times New Roman" w:hAnsi="Times New Roman" w:cs="Times New Roman"/>
                <w:color w:val="000000"/>
                <w:sz w:val="20"/>
                <w:szCs w:val="20"/>
              </w:rPr>
            </w:pPr>
            <w:r w:rsidRPr="008B39E1">
              <w:rPr>
                <w:rFonts w:ascii="Times New Roman" w:hAnsi="Times New Roman" w:cs="Times New Roman"/>
                <w:color w:val="000000"/>
                <w:sz w:val="20"/>
                <w:szCs w:val="20"/>
              </w:rPr>
              <w:t>0.252</w:t>
            </w:r>
          </w:p>
        </w:tc>
      </w:tr>
      <w:tr w:rsidR="008703B0" w:rsidRPr="008B39E1" w14:paraId="5C45A321" w14:textId="77777777" w:rsidTr="00702126">
        <w:trPr>
          <w:trHeight w:val="162"/>
        </w:trPr>
        <w:tc>
          <w:tcPr>
            <w:tcW w:w="5000" w:type="pct"/>
            <w:gridSpan w:val="8"/>
            <w:tcBorders>
              <w:top w:val="single" w:sz="4" w:space="0" w:color="auto"/>
              <w:left w:val="nil"/>
              <w:bottom w:val="nil"/>
              <w:right w:val="nil"/>
            </w:tcBorders>
            <w:shd w:val="clear" w:color="auto" w:fill="auto"/>
            <w:noWrap/>
            <w:vAlign w:val="bottom"/>
          </w:tcPr>
          <w:p w14:paraId="61498379" w14:textId="352C13CF" w:rsidR="008703B0" w:rsidRPr="008B39E1" w:rsidRDefault="008703B0" w:rsidP="000F0F5A">
            <w:pPr>
              <w:spacing w:after="0" w:line="240" w:lineRule="auto"/>
              <w:rPr>
                <w:rFonts w:ascii="Times New Roman" w:eastAsia="Times New Roman" w:hAnsi="Times New Roman" w:cs="Times New Roman"/>
                <w:color w:val="000000"/>
                <w:sz w:val="20"/>
                <w:szCs w:val="20"/>
              </w:rPr>
            </w:pPr>
            <w:r w:rsidRPr="008B39E1">
              <w:rPr>
                <w:rFonts w:ascii="Times New Roman" w:eastAsia="Times New Roman" w:hAnsi="Times New Roman" w:cs="Times New Roman"/>
                <w:color w:val="000000"/>
                <w:sz w:val="20"/>
                <w:szCs w:val="20"/>
              </w:rPr>
              <w:t>***, **, and * indicate significance at the 0.01, 0.05, and 0.10 levels, respectively, using two-tailed tests. Robust standard errors are clustered at the unique firm level. We present t-</w:t>
            </w:r>
            <w:proofErr w:type="gramStart"/>
            <w:r w:rsidRPr="008B39E1">
              <w:rPr>
                <w:rFonts w:ascii="Times New Roman" w:eastAsia="Times New Roman" w:hAnsi="Times New Roman" w:cs="Times New Roman"/>
                <w:color w:val="000000"/>
                <w:sz w:val="20"/>
                <w:szCs w:val="20"/>
              </w:rPr>
              <w:t>statistic</w:t>
            </w:r>
            <w:proofErr w:type="gramEnd"/>
            <w:r w:rsidRPr="008B39E1">
              <w:rPr>
                <w:rFonts w:ascii="Times New Roman" w:eastAsia="Times New Roman" w:hAnsi="Times New Roman" w:cs="Times New Roman"/>
                <w:color w:val="000000"/>
                <w:sz w:val="20"/>
                <w:szCs w:val="20"/>
              </w:rPr>
              <w:t xml:space="preserve"> in parentheses for each variable. See Appendix A for variable definitions.</w:t>
            </w:r>
            <w:r w:rsidR="002A5531">
              <w:rPr>
                <w:rFonts w:ascii="Times New Roman" w:eastAsia="Times New Roman" w:hAnsi="Times New Roman" w:cs="Times New Roman"/>
                <w:color w:val="000000"/>
                <w:sz w:val="20"/>
                <w:szCs w:val="20"/>
              </w:rPr>
              <w:t xml:space="preserve"> Source: Authors own work. </w:t>
            </w:r>
          </w:p>
        </w:tc>
      </w:tr>
    </w:tbl>
    <w:p w14:paraId="5457FC4C" w14:textId="77777777" w:rsidR="008703B0" w:rsidRPr="008B39E1" w:rsidRDefault="008703B0" w:rsidP="000F0F5A">
      <w:pPr>
        <w:spacing w:after="0" w:line="240" w:lineRule="auto"/>
        <w:rPr>
          <w:rFonts w:ascii="Times New Roman" w:hAnsi="Times New Roman" w:cs="Times New Roman"/>
          <w:b/>
          <w:bCs/>
          <w:sz w:val="24"/>
          <w:szCs w:val="24"/>
        </w:rPr>
      </w:pPr>
    </w:p>
    <w:sectPr w:rsidR="008703B0" w:rsidRPr="008B39E1" w:rsidSect="001D5F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61679" w14:textId="77777777" w:rsidR="00F718C0" w:rsidRDefault="00F718C0" w:rsidP="00F41656">
      <w:pPr>
        <w:spacing w:after="0" w:line="240" w:lineRule="auto"/>
      </w:pPr>
      <w:r>
        <w:separator/>
      </w:r>
    </w:p>
  </w:endnote>
  <w:endnote w:type="continuationSeparator" w:id="0">
    <w:p w14:paraId="31B27433" w14:textId="77777777" w:rsidR="00F718C0" w:rsidRDefault="00F718C0" w:rsidP="00F41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4815328"/>
      <w:docPartObj>
        <w:docPartGallery w:val="Page Numbers (Bottom of Page)"/>
        <w:docPartUnique/>
      </w:docPartObj>
    </w:sdtPr>
    <w:sdtEndPr>
      <w:rPr>
        <w:noProof/>
      </w:rPr>
    </w:sdtEndPr>
    <w:sdtContent>
      <w:p w14:paraId="30D3CE0C" w14:textId="5320E1E8" w:rsidR="0093647E" w:rsidRDefault="0093647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C716531" w14:textId="77777777" w:rsidR="00242372" w:rsidRDefault="002423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sz w:val="24"/>
        <w:szCs w:val="24"/>
      </w:rPr>
      <w:id w:val="-835687660"/>
      <w:docPartObj>
        <w:docPartGallery w:val="Page Numbers (Bottom of Page)"/>
        <w:docPartUnique/>
      </w:docPartObj>
    </w:sdtPr>
    <w:sdtEndPr>
      <w:rPr>
        <w:noProof/>
      </w:rPr>
    </w:sdtEndPr>
    <w:sdtContent>
      <w:p w14:paraId="7E79B5A3" w14:textId="77777777" w:rsidR="00576C11" w:rsidRPr="00011A08" w:rsidRDefault="00576C11">
        <w:pPr>
          <w:pStyle w:val="Footer"/>
          <w:jc w:val="right"/>
          <w:rPr>
            <w:rFonts w:cs="Times New Roman"/>
            <w:sz w:val="24"/>
            <w:szCs w:val="24"/>
          </w:rPr>
        </w:pPr>
        <w:r w:rsidRPr="00011A08">
          <w:rPr>
            <w:rFonts w:cs="Times New Roman"/>
            <w:sz w:val="24"/>
            <w:szCs w:val="24"/>
          </w:rPr>
          <w:fldChar w:fldCharType="begin"/>
        </w:r>
        <w:r w:rsidRPr="00011A08">
          <w:rPr>
            <w:rFonts w:cs="Times New Roman"/>
            <w:sz w:val="24"/>
            <w:szCs w:val="24"/>
          </w:rPr>
          <w:instrText xml:space="preserve"> PAGE   \* MERGEFORMAT </w:instrText>
        </w:r>
        <w:r w:rsidRPr="00011A08">
          <w:rPr>
            <w:rFonts w:cs="Times New Roman"/>
            <w:sz w:val="24"/>
            <w:szCs w:val="24"/>
          </w:rPr>
          <w:fldChar w:fldCharType="separate"/>
        </w:r>
        <w:r>
          <w:rPr>
            <w:rFonts w:cs="Times New Roman"/>
            <w:noProof/>
            <w:sz w:val="24"/>
            <w:szCs w:val="24"/>
          </w:rPr>
          <w:t>6</w:t>
        </w:r>
        <w:r w:rsidRPr="00011A08">
          <w:rPr>
            <w:rFonts w:cs="Times New Roman"/>
            <w:noProof/>
            <w:sz w:val="24"/>
            <w:szCs w:val="24"/>
          </w:rPr>
          <w:fldChar w:fldCharType="end"/>
        </w:r>
      </w:p>
    </w:sdtContent>
  </w:sdt>
  <w:p w14:paraId="1E3A2222" w14:textId="77777777" w:rsidR="00576C11" w:rsidRDefault="00576C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1191728"/>
      <w:docPartObj>
        <w:docPartGallery w:val="Page Numbers (Bottom of Page)"/>
        <w:docPartUnique/>
      </w:docPartObj>
    </w:sdtPr>
    <w:sdtEndPr>
      <w:rPr>
        <w:rFonts w:cs="Times New Roman"/>
        <w:noProof/>
        <w:sz w:val="24"/>
        <w:szCs w:val="24"/>
      </w:rPr>
    </w:sdtEndPr>
    <w:sdtContent>
      <w:p w14:paraId="198407B1" w14:textId="77777777" w:rsidR="00576C11" w:rsidRPr="00BF6BC7" w:rsidRDefault="00576C11">
        <w:pPr>
          <w:pStyle w:val="Footer"/>
          <w:jc w:val="right"/>
          <w:rPr>
            <w:rFonts w:cs="Times New Roman"/>
            <w:sz w:val="24"/>
            <w:szCs w:val="24"/>
          </w:rPr>
        </w:pPr>
        <w:r w:rsidRPr="00BF6BC7">
          <w:rPr>
            <w:rFonts w:cs="Times New Roman"/>
            <w:sz w:val="24"/>
            <w:szCs w:val="24"/>
          </w:rPr>
          <w:fldChar w:fldCharType="begin"/>
        </w:r>
        <w:r w:rsidRPr="00BF6BC7">
          <w:rPr>
            <w:rFonts w:cs="Times New Roman"/>
            <w:sz w:val="24"/>
            <w:szCs w:val="24"/>
          </w:rPr>
          <w:instrText xml:space="preserve"> PAGE   \* MERGEFORMAT </w:instrText>
        </w:r>
        <w:r w:rsidRPr="00BF6BC7">
          <w:rPr>
            <w:rFonts w:cs="Times New Roman"/>
            <w:sz w:val="24"/>
            <w:szCs w:val="24"/>
          </w:rPr>
          <w:fldChar w:fldCharType="separate"/>
        </w:r>
        <w:r w:rsidRPr="00BF6BC7">
          <w:rPr>
            <w:rFonts w:cs="Times New Roman"/>
            <w:noProof/>
            <w:sz w:val="24"/>
            <w:szCs w:val="24"/>
          </w:rPr>
          <w:t>2</w:t>
        </w:r>
        <w:r w:rsidRPr="00BF6BC7">
          <w:rPr>
            <w:rFonts w:cs="Times New Roman"/>
            <w:noProof/>
            <w:sz w:val="24"/>
            <w:szCs w:val="24"/>
          </w:rPr>
          <w:fldChar w:fldCharType="end"/>
        </w:r>
      </w:p>
    </w:sdtContent>
  </w:sdt>
  <w:p w14:paraId="7927C453" w14:textId="77777777" w:rsidR="00576C11" w:rsidRDefault="00576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1361E" w14:textId="77777777" w:rsidR="00F718C0" w:rsidRDefault="00F718C0" w:rsidP="00F41656">
      <w:pPr>
        <w:spacing w:after="0" w:line="240" w:lineRule="auto"/>
      </w:pPr>
      <w:r>
        <w:separator/>
      </w:r>
    </w:p>
  </w:footnote>
  <w:footnote w:type="continuationSeparator" w:id="0">
    <w:p w14:paraId="410295FD" w14:textId="77777777" w:rsidR="00F718C0" w:rsidRDefault="00F718C0" w:rsidP="00F41656">
      <w:pPr>
        <w:spacing w:after="0" w:line="240" w:lineRule="auto"/>
      </w:pPr>
      <w:r>
        <w:continuationSeparator/>
      </w:r>
    </w:p>
  </w:footnote>
  <w:footnote w:id="1">
    <w:p w14:paraId="04B71056" w14:textId="77777777" w:rsidR="00385A6D" w:rsidRPr="0004276D" w:rsidRDefault="00385A6D" w:rsidP="00385A6D">
      <w:pPr>
        <w:pStyle w:val="FootnoteText"/>
        <w:rPr>
          <w:rFonts w:ascii="Times New Roman" w:hAnsi="Times New Roman" w:cs="Times New Roman"/>
        </w:rPr>
      </w:pPr>
      <w:r w:rsidRPr="0032512C">
        <w:rPr>
          <w:rStyle w:val="FootnoteReference"/>
        </w:rPr>
        <w:footnoteRef/>
      </w:r>
      <w:r w:rsidRPr="0004276D">
        <w:rPr>
          <w:rFonts w:ascii="Times New Roman" w:hAnsi="Times New Roman" w:cs="Times New Roman"/>
        </w:rPr>
        <w:t xml:space="preserve"> The range includes U.S. public and non-public firms. </w:t>
      </w:r>
    </w:p>
  </w:footnote>
  <w:footnote w:id="2">
    <w:p w14:paraId="49EFEDAC" w14:textId="3A851838" w:rsidR="00B00955" w:rsidRPr="00101BD5" w:rsidRDefault="00B00955" w:rsidP="00B00955">
      <w:pPr>
        <w:pStyle w:val="FootnoteText"/>
        <w:rPr>
          <w:rFonts w:ascii="Times New Roman" w:hAnsi="Times New Roman" w:cs="Times New Roman"/>
        </w:rPr>
      </w:pPr>
      <w:r w:rsidRPr="0032512C">
        <w:rPr>
          <w:rStyle w:val="FootnoteReference"/>
        </w:rPr>
        <w:footnoteRef/>
      </w:r>
      <w:r w:rsidRPr="00101BD5">
        <w:rPr>
          <w:rFonts w:ascii="Times New Roman" w:hAnsi="Times New Roman" w:cs="Times New Roman"/>
        </w:rPr>
        <w:t xml:space="preserve"> Due to this disruption, </w:t>
      </w:r>
      <w:r w:rsidR="00BB39B9">
        <w:rPr>
          <w:rFonts w:ascii="Times New Roman" w:hAnsi="Times New Roman" w:cs="Times New Roman"/>
        </w:rPr>
        <w:t>Jamba, Inc.’s</w:t>
      </w:r>
      <w:r w:rsidRPr="00101BD5">
        <w:rPr>
          <w:rFonts w:ascii="Times New Roman" w:hAnsi="Times New Roman" w:cs="Times New Roman"/>
        </w:rPr>
        <w:t xml:space="preserve"> Q1-Q3 2017 10-Qs and FY 2017 10-K financial filings were delayed. </w:t>
      </w:r>
    </w:p>
  </w:footnote>
  <w:footnote w:id="3">
    <w:p w14:paraId="0C79B90B" w14:textId="77777777" w:rsidR="00385A6D" w:rsidRPr="00B66DC9" w:rsidRDefault="00385A6D" w:rsidP="00385A6D">
      <w:pPr>
        <w:pStyle w:val="FootnoteText"/>
        <w:rPr>
          <w:rFonts w:ascii="Times New Roman" w:hAnsi="Times New Roman" w:cs="Times New Roman"/>
        </w:rPr>
      </w:pPr>
      <w:r w:rsidRPr="0032512C">
        <w:rPr>
          <w:rStyle w:val="FootnoteReference"/>
        </w:rPr>
        <w:footnoteRef/>
      </w:r>
      <w:r w:rsidRPr="00B66DC9">
        <w:rPr>
          <w:rFonts w:ascii="Times New Roman" w:hAnsi="Times New Roman" w:cs="Times New Roman"/>
        </w:rPr>
        <w:t xml:space="preserve"> Throughout the paper, we use “corporate headquarters” and “headquarters” interchangeably. </w:t>
      </w:r>
    </w:p>
  </w:footnote>
  <w:footnote w:id="4">
    <w:p w14:paraId="34BC87E1" w14:textId="703007F9" w:rsidR="00385A6D" w:rsidRPr="00AE0B0C" w:rsidRDefault="00385A6D" w:rsidP="00385A6D">
      <w:pPr>
        <w:pStyle w:val="FootnoteText"/>
        <w:rPr>
          <w:rFonts w:ascii="Times New Roman" w:hAnsi="Times New Roman" w:cs="Times New Roman"/>
        </w:rPr>
      </w:pPr>
      <w:r w:rsidRPr="00AE0B0C">
        <w:rPr>
          <w:rStyle w:val="FootnoteReference"/>
          <w:rFonts w:ascii="Times New Roman" w:hAnsi="Times New Roman" w:cs="Times New Roman"/>
        </w:rPr>
        <w:footnoteRef/>
      </w:r>
      <w:r w:rsidRPr="00AE0B0C">
        <w:rPr>
          <w:rFonts w:ascii="Times New Roman" w:hAnsi="Times New Roman" w:cs="Times New Roman"/>
        </w:rPr>
        <w:t xml:space="preserve"> We limit our main analysis to the first year after relocation </w:t>
      </w:r>
      <w:r>
        <w:rPr>
          <w:rFonts w:ascii="Times New Roman" w:hAnsi="Times New Roman" w:cs="Times New Roman"/>
        </w:rPr>
        <w:t xml:space="preserve">because (1) the disequilibrium to employee stability is likely to manifest most in this year </w:t>
      </w:r>
      <w:r w:rsidRPr="00AE0B0C">
        <w:rPr>
          <w:rFonts w:ascii="Times New Roman" w:hAnsi="Times New Roman" w:cs="Times New Roman"/>
        </w:rPr>
        <w:t>and (2) to avoid confounding factors after the first year of relocation.</w:t>
      </w:r>
      <w:r>
        <w:rPr>
          <w:rFonts w:ascii="Times New Roman" w:hAnsi="Times New Roman" w:cs="Times New Roman"/>
        </w:rPr>
        <w:t xml:space="preserve"> Other studies examining effects of relocation or employee turnover disruptions also limit their studies to short windows (i.e., </w:t>
      </w:r>
      <w:r>
        <w:rPr>
          <w:rFonts w:ascii="Times New Roman" w:hAnsi="Times New Roman" w:cs="Times New Roman"/>
        </w:rPr>
        <w:fldChar w:fldCharType="begin" w:fldLock="1"/>
      </w:r>
      <w:r>
        <w:rPr>
          <w:rFonts w:ascii="Times New Roman" w:hAnsi="Times New Roman" w:cs="Times New Roman"/>
        </w:rPr>
        <w:instrText>ADDIN CSL_CITATION {"citationItems":[{"id":"ITEM-1","itemData":{"DOI":"10.1111/j.1540-6261.2006.00895.x","ISSN":"00221082","abstract":"We document strong comovement in the stock returns of firms headquartered in the same geographic area. Moreover, stocks of companies that change their headquarters location experience a decrease in their comovement with stocks from the old location and an increase in their comovement with stocks from the new location. The local Comovement of stock returns is not explained by economic fundamentals and is stronger for smaller firms with more individual investors and in regions with less financially sophisticated residents. We argue that price formation in equity markets has a significant geographic component linked to the trading patterns of local residents.","author":[{"dropping-particle":"","family":"Pirinsky","given":"Christo","non-dropping-particle":"","parse-names":false,"suffix":""},{"dropping-particle":"","family":"Wang","given":"Qinghai","non-dropping-particle":"","parse-names":false,"suffix":""}],"container-title":"Journal of Finance","id":"ITEM-1","issue":"4","issued":{"date-parts":[["2006"]]},"page":"1991-2015","title":"Does corporate headquarters location matter for stock returns?","type":"article-journal","volume":"61"},"uris":["http://www.mendeley.com/documents/?uuid=d3902b2a-749f-40ce-84c6-abb7ee59a4a7"]},{"id":"ITEM-2","itemData":{"ISBN":"9781119130536","abstract":"Employee turnover is a significant cost for businesses and a key human capital metric, but firms do not disclose this measure. We examine whether turnover is informative about future firm performance using a large panel of turnover data extracted from employees’ online profiles. We find that turnover is negatively associated with future financial performance (one-quarter ahead ROA and sales growth). The negative association between turnover and future performance is stronger for small firms, for young firms, for firms with low labor intensity, when the local labor market is tight, and when the firm is trying to replace departing employees. The negative association disappears when turnover is very low, suggesting that a certain amount of turnover can be beneficial. Consistent with the concern that turnover increases operational uncertainty, we find a positive association between turnover and the uncertainty of future financial performance. Finally, we find a significant association between turnover and future stock returns, suggesting that investors do not fully incorporate turnover information. Our findings answer the call from the SEC to determine the importance of turnover disclosure.","author":[{"dropping-particle":"","family":"Li","given":"Qin","non-dropping-particle":"","parse-names":false,"suffix":""},{"dropping-particle":"","family":"Lourie","given":"Ben","non-dropping-particle":"","parse-names":false,"suffix":""},{"dropping-particle":"","family":"Nekrasov","given":"Alexander","non-dropping-particle":"","parse-names":false,"suffix":""},{"dropping-particle":"","family":"Shevlin","given":"Terry","non-dropping-particle":"","parse-names":false,"suffix":""}],"container-title":"Management Science","id":"ITEM-2","issue":"January 2022","issued":{"date-parts":[["2021"]]},"page":"Forthcoming","title":"Employee Turnover and Firm Performance: Large-Sample Archival Evidence","type":"article-journal"},"uris":["http://www.mendeley.com/documents/?uuid=24713980-7f0d-453e-97b9-f8ab5a18b7c3"]}],"mendeley":{"formattedCitation":"(Pirinsky and Wang 2006; Li et al. 2021)","manualFormatting":"Pirinsky and Wang 2006; Li et al. 2021)","plainTextFormattedCitation":"(Pirinsky and Wang 2006; Li et al. 2021)","previouslyFormattedCitation":"(Pirinsky and Wang 2006; Li et al. 2021)"},"properties":{"noteIndex":0},"schema":"https://github.com/citation-style-language/schema/raw/master/csl-citation.json"}</w:instrText>
      </w:r>
      <w:r>
        <w:rPr>
          <w:rFonts w:ascii="Times New Roman" w:hAnsi="Times New Roman" w:cs="Times New Roman"/>
        </w:rPr>
        <w:fldChar w:fldCharType="separate"/>
      </w:r>
      <w:r w:rsidRPr="00A876FA">
        <w:rPr>
          <w:rFonts w:ascii="Times New Roman" w:hAnsi="Times New Roman" w:cs="Times New Roman"/>
          <w:noProof/>
        </w:rPr>
        <w:t>Pirinsky and Wang</w:t>
      </w:r>
      <w:r w:rsidR="00626C86">
        <w:rPr>
          <w:rFonts w:ascii="Times New Roman" w:hAnsi="Times New Roman" w:cs="Times New Roman"/>
          <w:noProof/>
        </w:rPr>
        <w:t>,</w:t>
      </w:r>
      <w:r w:rsidRPr="00A876FA">
        <w:rPr>
          <w:rFonts w:ascii="Times New Roman" w:hAnsi="Times New Roman" w:cs="Times New Roman"/>
          <w:noProof/>
        </w:rPr>
        <w:t xml:space="preserve"> 2006; Li </w:t>
      </w:r>
      <w:r w:rsidR="00ED2DA4" w:rsidRPr="00ED2DA4">
        <w:rPr>
          <w:rFonts w:ascii="Times New Roman" w:hAnsi="Times New Roman" w:cs="Times New Roman"/>
          <w:i/>
          <w:noProof/>
        </w:rPr>
        <w:t>et al</w:t>
      </w:r>
      <w:r w:rsidRPr="00A876FA">
        <w:rPr>
          <w:rFonts w:ascii="Times New Roman" w:hAnsi="Times New Roman" w:cs="Times New Roman"/>
          <w:noProof/>
        </w:rPr>
        <w:t>.</w:t>
      </w:r>
      <w:r w:rsidR="00626C86">
        <w:rPr>
          <w:rFonts w:ascii="Times New Roman" w:hAnsi="Times New Roman" w:cs="Times New Roman"/>
          <w:noProof/>
        </w:rPr>
        <w:t>,</w:t>
      </w:r>
      <w:r w:rsidRPr="00A876FA">
        <w:rPr>
          <w:rFonts w:ascii="Times New Roman" w:hAnsi="Times New Roman" w:cs="Times New Roman"/>
          <w:noProof/>
        </w:rPr>
        <w:t xml:space="preserve"> 2021)</w:t>
      </w:r>
      <w:r>
        <w:rPr>
          <w:rFonts w:ascii="Times New Roman" w:hAnsi="Times New Roman" w:cs="Times New Roman"/>
        </w:rPr>
        <w:fldChar w:fldCharType="end"/>
      </w:r>
      <w:r>
        <w:rPr>
          <w:rFonts w:ascii="Times New Roman" w:hAnsi="Times New Roman" w:cs="Times New Roman"/>
        </w:rPr>
        <w:t xml:space="preserve">. In additional analysis, we examine the subsequent year, and the </w:t>
      </w:r>
      <w:r w:rsidRPr="000F4449">
        <w:rPr>
          <w:rFonts w:ascii="Times New Roman" w:hAnsi="Times New Roman" w:cs="Times New Roman"/>
        </w:rPr>
        <w:t>results reinforce our inference that relocation is associated with lower internal control quality in the first year following relocation</w:t>
      </w:r>
      <w:r w:rsidRPr="002A54AA">
        <w:rPr>
          <w:rFonts w:ascii="Times New Roman" w:hAnsi="Times New Roman" w:cs="Times New Roman"/>
        </w:rPr>
        <w:t>.</w:t>
      </w:r>
      <w:r>
        <w:rPr>
          <w:rFonts w:ascii="Times New Roman" w:hAnsi="Times New Roman" w:cs="Times New Roman"/>
        </w:rPr>
        <w:t xml:space="preserve">  </w:t>
      </w:r>
    </w:p>
  </w:footnote>
  <w:footnote w:id="5">
    <w:p w14:paraId="3FB59503" w14:textId="22D96A7C" w:rsidR="00385A6D" w:rsidRPr="00B60CFF" w:rsidRDefault="00385A6D" w:rsidP="00385A6D">
      <w:pPr>
        <w:pStyle w:val="FootnoteText"/>
        <w:rPr>
          <w:rFonts w:ascii="Times New Roman" w:hAnsi="Times New Roman" w:cs="Times New Roman"/>
        </w:rPr>
      </w:pPr>
      <w:r w:rsidRPr="00B96C27">
        <w:rPr>
          <w:rStyle w:val="FootnoteReference"/>
          <w:rFonts w:ascii="Times New Roman" w:hAnsi="Times New Roman" w:cs="Times New Roman"/>
        </w:rPr>
        <w:footnoteRef/>
      </w:r>
      <w:r w:rsidRPr="00B96C27">
        <w:rPr>
          <w:rFonts w:ascii="Times New Roman" w:hAnsi="Times New Roman" w:cs="Times New Roman"/>
        </w:rPr>
        <w:t xml:space="preserve"> Under the Sarbanes-Oxley </w:t>
      </w:r>
      <w:r w:rsidR="00F60655">
        <w:rPr>
          <w:rFonts w:ascii="Times New Roman" w:hAnsi="Times New Roman" w:cs="Times New Roman"/>
        </w:rPr>
        <w:t xml:space="preserve">(SOX) </w:t>
      </w:r>
      <w:r w:rsidRPr="00B96C27">
        <w:rPr>
          <w:rFonts w:ascii="Times New Roman" w:hAnsi="Times New Roman" w:cs="Times New Roman"/>
        </w:rPr>
        <w:t>Act of 2002, external auditors are required, starting in 2004, to evaluate and opine on the effectiveness of companies’ internal controls over financial reporting.</w:t>
      </w:r>
    </w:p>
  </w:footnote>
  <w:footnote w:id="6">
    <w:p w14:paraId="34225880" w14:textId="1D1CE907" w:rsidR="00385A6D" w:rsidRPr="00B96C27" w:rsidRDefault="00385A6D" w:rsidP="00385A6D">
      <w:pPr>
        <w:pStyle w:val="FootnoteText"/>
        <w:rPr>
          <w:rFonts w:ascii="Times New Roman" w:hAnsi="Times New Roman" w:cs="Times New Roman"/>
        </w:rPr>
      </w:pPr>
      <w:r w:rsidRPr="00B96C27">
        <w:rPr>
          <w:rStyle w:val="FootnoteReference"/>
          <w:rFonts w:ascii="Times New Roman" w:hAnsi="Times New Roman" w:cs="Times New Roman"/>
        </w:rPr>
        <w:footnoteRef/>
      </w:r>
      <w:r w:rsidRPr="00B96C27">
        <w:rPr>
          <w:rFonts w:ascii="Times New Roman" w:hAnsi="Times New Roman" w:cs="Times New Roman"/>
        </w:rPr>
        <w:t xml:space="preserve"> The data is publicly available at: </w:t>
      </w:r>
      <w:hyperlink r:id="rId1" w:history="1">
        <w:r w:rsidRPr="00B96C27">
          <w:rPr>
            <w:rStyle w:val="Hyperlink"/>
            <w:rFonts w:ascii="Times New Roman" w:hAnsi="Times New Roman" w:cs="Times New Roman"/>
          </w:rPr>
          <w:t>https://aese.psu.edu/nercrd/community/social-capital-resources/social-capital-variables-for-1997-2005-2009</w:t>
        </w:r>
      </w:hyperlink>
      <w:r w:rsidRPr="00B96C27">
        <w:rPr>
          <w:rFonts w:ascii="Times New Roman" w:hAnsi="Times New Roman" w:cs="Times New Roman"/>
        </w:rPr>
        <w:t>.</w:t>
      </w:r>
      <w:r w:rsidRPr="007B0ABA">
        <w:rPr>
          <w:rFonts w:ascii="Times New Roman" w:hAnsi="Times New Roman" w:cs="Times New Roman"/>
        </w:rPr>
        <w:t xml:space="preserve"> </w:t>
      </w:r>
      <w:r w:rsidRPr="00B96C27">
        <w:rPr>
          <w:rFonts w:ascii="Times New Roman" w:hAnsi="Times New Roman" w:cs="Times New Roman"/>
        </w:rPr>
        <w:t xml:space="preserve">We explain the social capital measure in detail later. This measure is used in numerous recent accounting and finance studies (e.g., </w:t>
      </w:r>
      <w:r w:rsidRPr="00B96C27">
        <w:rPr>
          <w:rFonts w:ascii="Times New Roman" w:hAnsi="Times New Roman" w:cs="Times New Roman"/>
        </w:rPr>
        <w:fldChar w:fldCharType="begin" w:fldLock="1"/>
      </w:r>
      <w:r>
        <w:rPr>
          <w:rFonts w:ascii="Times New Roman" w:hAnsi="Times New Roman" w:cs="Times New Roman"/>
        </w:rPr>
        <w:instrText>ADDIN CSL_CITATION {"citationItems":[{"id":"ITEM-1","itemData":{"DOI":"10.2308/accr-50878","ISSN":"00014826","abstract":"We examine the impact of social capital on audit fees. We find that firms headquartered in U.S. counties with high social capital pay lower audit fees. Social capital measures the level of mutual trust in a region. Our results suggest that auditors judge the trustworthiness of their clients based on where the firm is headquartered and charge a premium when they trust the firm less. The basis of our results is the examination of more than 28,000 audit fees for more than 5,000 firms spanning the period of 2000 to 2009. The results are robust to controlling for a large number of firmlevel and county-level characteristics.","author":[{"dropping-particle":"","family":"Jha","given":"Anand","non-dropping-particle":"","parse-names":false,"suffix":""},{"dropping-particle":"","family":"Chen","given":"Yu","non-dropping-particle":"","parse-names":false,"suffix":""}],"container-title":"The Accounting Review","id":"ITEM-1","issue":"2","issued":{"date-parts":[["2015"]]},"page":"611-639","title":"Audit Fees and Social Capital","type":"article-journal","volume":"90"},"uris":["http://www.mendeley.com/documents/?uuid=09be9e40-1aa5-4ac5-8404-354dc5a00f1a"]},{"id":"ITEM-2","itemData":{"DOI":"10.1017/S0022109017000205","ISBN":"0022109017000","ISSN":"17566916","abstract":"We find that firms headquartered in U.S. counties with higher levels of social capital incur lower bank loan spreads. This finding is robust to using organ donation as an alternative social capital measure and incremental to the effects of religiosity, corporate social responsibility, and tax avoidance. We identify the causal relation using companies with a social-capital-changing headquarters relocation. We also find that high-social-capital firms face loosened nonprice loan terms, incur lower at-issue bond spreads, and prefer public bonds over bank loans. We conclude that debt holders perceive social capital as providing environmental pressure that constrains opportunistic firm behaviors in debt contracting.","author":[{"dropping-particle":"","family":"Hasan","given":"Iftekhar","non-dropping-particle":"","parse-names":false,"suffix":""},{"dropping-particle":"","family":"Hoi","given":"Chun Keung","non-dropping-particle":"","parse-names":false,"suffix":""},{"dropping-particle":"","family":"Wu","given":"Qiang","non-dropping-particle":"","parse-names":false,"suffix":""},{"dropping-particle":"","family":"Zhang","given":"Hao","non-dropping-particle":"","parse-names":false,"suffix":""}],"container-title":"Journal of Financial and Quantitative Analysis","id":"ITEM-2","issue":"3","issued":{"date-parts":[["2017"]]},"page":"1017-1047","title":"Social Capital and Debt Contracting: Evidence from Bank Loans and Public Bonds","type":"article-journal","volume":"52"},"uris":["http://www.mendeley.com/documents/?uuid=38a988f0-63b9-4fcb-88d7-2a66f96895f5"]},{"id":"ITEM-3","itemData":{"DOI":"10.1111/1475-679X.12159","ISSN":"1475679X","abstract":"We investigate whether the levels of social capital in U.S. counties, as captured by strength of civic norms and density of social networks in the counties, are systematically related to tax avoidance activities of corporations with headquarters located in the counties. We find strong negative associations between social capital and corporate tax avoidance, as captured by effective tax rates and book-tax differences. These results are incremental to the effects of local religiosity and firm culture toward socially irresponsible activities. They are robust to using organ donation as an alternative social capital proxy and fixed effect regressions. They extend to aggressive tax avoidance practices. Additionally, we provide corroborating evidence using firms with headquarters relocation that changes the exposure to social capital. We conclude that social capital surrounding corporate headquarters provides environmental influences constraining corporate tax avoidance.","author":[{"dropping-particle":"","family":"Hasan","given":"Iftekhar","non-dropping-particle":"","parse-names":false,"suffix":""},{"dropping-particle":"","family":"Hoi","given":"Chun Keung Stan","non-dropping-particle":"","parse-names":false,"suffix":""},{"dropping-particle":"","family":"Wu","given":"Qiang","non-dropping-particle":"","parse-names":false,"suffix":""},{"dropping-particle":"","family":"Zhang","given":"Hao","non-dropping-particle":"","parse-names":false,"suffix":""}],"container-title":"Journal of Accounting Research","id":"ITEM-3","issue":"3","issued":{"date-parts":[["2017"]]},"page":"629-668","title":"Does Social Capital Matter in Corporate Decisions? Evidence from Corporate Tax Avoidance","type":"article-journal","volume":"55"},"uris":["http://www.mendeley.com/documents/?uuid=7e1ff8b5-215e-43e3-b440-61cb165a603e"]},{"id":"ITEM-4","itemData":{"DOI":"10.1016/j.jbankfin.2017.10.002","ISSN":"03784266","abstract":"We find that a firm's cost of equity is inversely related to the level of social capital in the state where the firm is headquartered. Further, the cost of equity declines when firms move their headquarters from a low-social-capital state to a state with higher social capital. The negative relation between social capital and the cost of equity is statistically significant only for firms facing relatively low levels of product–market competition and is not significant for firms with good firm-specific reputations. We interpret these findings as indicating that social capital serves as a societal monitoring mechanism, and can be value-enhancing for firms that are perceived as having greater agency problems and face weak product market monitoring.","author":[{"dropping-particle":"","family":"Gupta","given":"Atul","non-dropping-particle":"","parse-names":false,"suffix":""},{"dropping-particle":"","family":"Raman","given":"Kartik","non-dropping-particle":"","parse-names":false,"suffix":""},{"dropping-particle":"","family":"Shang","given":"Chenguang","non-dropping-particle":"","parse-names":false,"suffix":""}],"container-title":"Journal of Banking and Finance","id":"ITEM-4","issued":{"date-parts":[["2018"]]},"page":"102-117","publisher":"Elsevier B.V.","title":"Social capital and the cost of equity","type":"article-journal","volume":"87"},"uris":["http://www.mendeley.com/documents/?uuid=531a470d-2e9c-4f70-870b-7e8d65a89172"]},{"id":"ITEM-5","itemData":{"DOI":"10.1007/s10551-017-3495-5","ISSN":"15730697","abstract":"I examine social capital’s impact on financial reports. Based on the social capital literature, I predict that the quality of the financial reports is higher when a firm is headquartered in a region with high social capital. Consistent with this prediction, I find that the firms that are headquartered in this type of region in the USA have a lower probability of committing fraud by misrepresenting financial information. Further, I find that the firms in regions with high social capital have lower levels of discretionary accruals and much more readable annual reports.","author":[{"dropping-particle":"","family":"Jha","given":"Anand","non-dropping-particle":"","parse-names":false,"suffix":""}],"container-title":"Journal of Business Ethics","id":"ITEM-5","issue":"2","issued":{"date-parts":[["2019"]]},"page":"567-596","publisher":"Springer Netherlands","title":"Financial Reports and Social Capital","type":"article-journal","volume":"155"},"uris":["http://www.mendeley.com/documents/?uuid=aa944054-4248-4589-bd8e-83d8ffcb518c"]},{"id":"ITEM-6","itemData":{"DOI":"10.2308/horizons-16-153","abstract":"We examine the association between firms’ county-level social capital and their internal control quality, measured by the disclosure of material weaknesses in their auditors’ report on internal control over financial reporting (ICFR). Using a sample of 22,656 firm-year observations for the period 2004-2014, and a measure of social capital provided by the Northeast Regional Center for Rural Development (NRCRD), we document that, after controlling for auditor effort, firms headquartered in US counties with higher social capital are less likely to have ineffective ICFR than those located in areas with lower social capital. More important, we find, fairly consistently in multiple tests, that this association holds for ineffective internal control arising from entity- level, but not account-specific, material weaknesses. Since entity-level internal control weaknesses have been shown to have adverse effects on a number of outcomes (in addition to financial reporting quality), such as firm performance, credit ratings and internal capital allocation efficiency, future studies can explore whether social capital could affect these outcomes indirectly through its effect on entity-level internal controls.","author":[{"dropping-particle":"","family":"Krishnan","given":"Jayanthi","non-dropping-particle":"","parse-names":false,"suffix":""},{"dropping-particle":"","family":"Lee","given":"Sang Mook","non-dropping-particle":"","parse-names":false,"suffix":""},{"dropping-particle":"","family":"Son","given":"Myungsoo","non-dropping-particle":"","parse-names":false,"suffix":""},{"dropping-particle":"","family":"Song","given":"Hakjoon","non-dropping-particle":"","parse-names":false,"suffix":""}],"container-title":"Accounting Horizons","id":"ITEM-6","issued":{"date-parts":[["2021"]]},"title":"Social Capital and Internal Control Material Weaknesses","type":"article-journal"},"uris":["http://www.mendeley.com/documents/?uuid=9646da42-87c0-40f6-82d0-c2bd00310669"]}],"mendeley":{"formattedCitation":"(Jha and Chen 2015; Hasan, Chun Keung Hoi, et al. 2017; Hasan, Chun Keung Stan Hoi, et al. 2017; Gupta et al. 2018; Jha 2019; Krishnan et al. 2021)","manualFormatting":"Jha and Chen 2015; Hasan, Hoi, Wu, and Zhang 2017a; 2017b; Gupta, Raman, and Shang 2018; Jha 2019; Krishnan, Lee, Son, and Song 2021)","plainTextFormattedCitation":"(Jha and Chen 2015; Hasan, Chun Keung Hoi, et al. 2017; Hasan, Chun Keung Stan Hoi, et al. 2017; Gupta et al. 2018; Jha 2019; Krishnan et al. 2021)","previouslyFormattedCitation":"(Jha and Chen 2015; Hasan, Chun Keung Hoi, et al. 2017; Hasan, Chun Keung Stan Hoi, et al. 2017; Gupta et al. 2018; Jha 2019; Krishnan et al. 2021)"},"properties":{"noteIndex":0},"schema":"https://github.com/citation-style-language/schema/raw/master/csl-citation.json"}</w:instrText>
      </w:r>
      <w:r w:rsidRPr="00B96C27">
        <w:rPr>
          <w:rFonts w:ascii="Times New Roman" w:hAnsi="Times New Roman" w:cs="Times New Roman"/>
        </w:rPr>
        <w:fldChar w:fldCharType="separate"/>
      </w:r>
      <w:r w:rsidRPr="00B96C27">
        <w:rPr>
          <w:rFonts w:ascii="Times New Roman" w:hAnsi="Times New Roman" w:cs="Times New Roman"/>
          <w:noProof/>
        </w:rPr>
        <w:t>Jha and Chen</w:t>
      </w:r>
      <w:r w:rsidR="00626C86">
        <w:rPr>
          <w:rFonts w:ascii="Times New Roman" w:hAnsi="Times New Roman" w:cs="Times New Roman"/>
          <w:noProof/>
        </w:rPr>
        <w:t>,</w:t>
      </w:r>
      <w:r w:rsidRPr="00B96C27">
        <w:rPr>
          <w:rFonts w:ascii="Times New Roman" w:hAnsi="Times New Roman" w:cs="Times New Roman"/>
          <w:noProof/>
        </w:rPr>
        <w:t xml:space="preserve"> 2015; Hasan, Hoi, Wu, and Zhang</w:t>
      </w:r>
      <w:r w:rsidR="00626C86">
        <w:rPr>
          <w:rFonts w:ascii="Times New Roman" w:hAnsi="Times New Roman" w:cs="Times New Roman"/>
          <w:noProof/>
        </w:rPr>
        <w:t>,</w:t>
      </w:r>
      <w:r w:rsidRPr="00B96C27">
        <w:rPr>
          <w:rFonts w:ascii="Times New Roman" w:hAnsi="Times New Roman" w:cs="Times New Roman"/>
          <w:noProof/>
        </w:rPr>
        <w:t xml:space="preserve"> 2017a; 2017b; Gupta, Raman, and Shang</w:t>
      </w:r>
      <w:r w:rsidR="00626C86">
        <w:rPr>
          <w:rFonts w:ascii="Times New Roman" w:hAnsi="Times New Roman" w:cs="Times New Roman"/>
          <w:noProof/>
        </w:rPr>
        <w:t>,</w:t>
      </w:r>
      <w:r w:rsidRPr="00B96C27">
        <w:rPr>
          <w:rFonts w:ascii="Times New Roman" w:hAnsi="Times New Roman" w:cs="Times New Roman"/>
          <w:noProof/>
        </w:rPr>
        <w:t xml:space="preserve"> 2018; Jha</w:t>
      </w:r>
      <w:r w:rsidR="009363C3">
        <w:rPr>
          <w:rFonts w:ascii="Times New Roman" w:hAnsi="Times New Roman" w:cs="Times New Roman"/>
          <w:noProof/>
        </w:rPr>
        <w:t>,</w:t>
      </w:r>
      <w:r w:rsidRPr="00B96C27">
        <w:rPr>
          <w:rFonts w:ascii="Times New Roman" w:hAnsi="Times New Roman" w:cs="Times New Roman"/>
          <w:noProof/>
        </w:rPr>
        <w:t xml:space="preserve"> 2019; Krishnan, Lee, Son, and Song</w:t>
      </w:r>
      <w:r w:rsidR="009363C3">
        <w:rPr>
          <w:rFonts w:ascii="Times New Roman" w:hAnsi="Times New Roman" w:cs="Times New Roman"/>
          <w:noProof/>
        </w:rPr>
        <w:t>,</w:t>
      </w:r>
      <w:r w:rsidRPr="00B96C27">
        <w:rPr>
          <w:rFonts w:ascii="Times New Roman" w:hAnsi="Times New Roman" w:cs="Times New Roman"/>
          <w:noProof/>
        </w:rPr>
        <w:t xml:space="preserve"> 2021)</w:t>
      </w:r>
      <w:r w:rsidRPr="00B96C27">
        <w:rPr>
          <w:rFonts w:ascii="Times New Roman" w:hAnsi="Times New Roman" w:cs="Times New Roman"/>
        </w:rPr>
        <w:fldChar w:fldCharType="end"/>
      </w:r>
      <w:r w:rsidR="009363C3">
        <w:rPr>
          <w:rFonts w:ascii="Times New Roman" w:hAnsi="Times New Roman" w:cs="Times New Roman"/>
        </w:rPr>
        <w:t>.</w:t>
      </w:r>
    </w:p>
  </w:footnote>
  <w:footnote w:id="7">
    <w:p w14:paraId="101C065D" w14:textId="3BCC83B8" w:rsidR="00191658" w:rsidRPr="00EF75E6" w:rsidRDefault="00191658">
      <w:pPr>
        <w:pStyle w:val="FootnoteText"/>
        <w:rPr>
          <w:rFonts w:ascii="Times New Roman" w:hAnsi="Times New Roman" w:cs="Times New Roman"/>
        </w:rPr>
      </w:pPr>
      <w:r w:rsidRPr="00EF75E6">
        <w:rPr>
          <w:rStyle w:val="FootnoteReference"/>
          <w:rFonts w:ascii="Times New Roman" w:hAnsi="Times New Roman" w:cs="Times New Roman"/>
        </w:rPr>
        <w:footnoteRef/>
      </w:r>
      <w:r w:rsidRPr="00EF75E6">
        <w:rPr>
          <w:rFonts w:ascii="Times New Roman" w:hAnsi="Times New Roman" w:cs="Times New Roman"/>
        </w:rPr>
        <w:t xml:space="preserve"> A contemporaneous working paper, Beck, </w:t>
      </w:r>
      <w:proofErr w:type="spellStart"/>
      <w:r w:rsidRPr="00EF75E6">
        <w:rPr>
          <w:rFonts w:ascii="Times New Roman" w:hAnsi="Times New Roman" w:cs="Times New Roman"/>
        </w:rPr>
        <w:t>Czerney</w:t>
      </w:r>
      <w:proofErr w:type="spellEnd"/>
      <w:r w:rsidRPr="00EF75E6">
        <w:rPr>
          <w:rFonts w:ascii="Times New Roman" w:hAnsi="Times New Roman" w:cs="Times New Roman"/>
        </w:rPr>
        <w:t xml:space="preserve">, and Lee (2024), </w:t>
      </w:r>
      <w:r w:rsidR="00305BDB" w:rsidRPr="00EF75E6">
        <w:rPr>
          <w:rFonts w:ascii="Times New Roman" w:hAnsi="Times New Roman" w:cs="Times New Roman"/>
        </w:rPr>
        <w:t xml:space="preserve">finds that corporate relocations are detrimental to financial reporting quality and documents, in additional analyses, that internal control quality suffers as well. Our study focuses on how community impacts of corporate relocations, namely social capital changes, affects internal control functions thus adding </w:t>
      </w:r>
      <w:r w:rsidR="00305BDB">
        <w:rPr>
          <w:rFonts w:ascii="Times New Roman" w:hAnsi="Times New Roman" w:cs="Times New Roman"/>
        </w:rPr>
        <w:t>insights into</w:t>
      </w:r>
      <w:r w:rsidR="00305BDB" w:rsidRPr="00EF75E6">
        <w:rPr>
          <w:rFonts w:ascii="Times New Roman" w:hAnsi="Times New Roman" w:cs="Times New Roman"/>
        </w:rPr>
        <w:t xml:space="preserve"> how corporate decisions, employees, and community ties interact.</w:t>
      </w:r>
    </w:p>
  </w:footnote>
  <w:footnote w:id="8">
    <w:p w14:paraId="24A9FA1F" w14:textId="77777777" w:rsidR="00385A6D" w:rsidRPr="00D15455" w:rsidRDefault="00385A6D" w:rsidP="00385A6D">
      <w:pPr>
        <w:spacing w:after="0" w:line="240" w:lineRule="auto"/>
        <w:rPr>
          <w:rFonts w:ascii="Times New Roman" w:hAnsi="Times New Roman" w:cs="Times New Roman"/>
          <w:sz w:val="20"/>
          <w:szCs w:val="20"/>
        </w:rPr>
      </w:pPr>
      <w:r w:rsidRPr="00D95F7D">
        <w:rPr>
          <w:rStyle w:val="FootnoteReference"/>
          <w:rFonts w:ascii="Times New Roman" w:hAnsi="Times New Roman" w:cs="Times New Roman"/>
          <w:sz w:val="20"/>
          <w:szCs w:val="20"/>
        </w:rPr>
        <w:footnoteRef/>
      </w:r>
      <w:r w:rsidRPr="00FE04AA">
        <w:rPr>
          <w:rFonts w:ascii="Times New Roman" w:hAnsi="Times New Roman" w:cs="Times New Roman"/>
          <w:sz w:val="20"/>
          <w:szCs w:val="20"/>
        </w:rPr>
        <w:t xml:space="preserve"> For example, </w:t>
      </w:r>
      <w:r w:rsidRPr="00FE04AA">
        <w:rPr>
          <w:rFonts w:ascii="Times New Roman" w:hAnsi="Times New Roman" w:cs="Times New Roman"/>
          <w:sz w:val="20"/>
          <w:szCs w:val="20"/>
        </w:rPr>
        <w:fldChar w:fldCharType="begin" w:fldLock="1"/>
      </w:r>
      <w:r w:rsidRPr="00FE04AA">
        <w:rPr>
          <w:rFonts w:ascii="Times New Roman" w:hAnsi="Times New Roman" w:cs="Times New Roman"/>
          <w:sz w:val="20"/>
          <w:szCs w:val="20"/>
        </w:rPr>
        <w:instrText>ADDIN CSL_CITATION {"citationItems":[{"id":"ITEM-1","itemData":{"DOI":"10.2308/accr-50909","ISSN":"00014826","abstract":"We investigate whether ineffective internal control over financial reporting has implications for firm operations by examining the association between inventoryrelated material weaknesses in internal control over financial reporting and firms' inventory management. We find that firms with inventory-related material weaknesses have systematically lower inventory turnover ratios and are more likely to report inventory impairments relative to firms with effective internal control over financial reporting. We also find that inventory turnover rates increase for firms that remediate material weaknesses related to inventory tracking. Remediating firms also experience increases in sales, gross profit, and operating cash flows. Finally, we assess the generalizability of our findings by examining all material weaknesses in internal control over financial reporting, regardless of type, and provide evidence that firms' returns on assets are associated with both their existence and remediation. Collectively, our findings support the general hypothesis that internal control over financial reporting has an economically significant effect on firm operations.","author":[{"dropping-particle":"","family":"Feng","given":"Mei","non-dropping-particle":"","parse-names":false,"suffix":""},{"dropping-particle":"","family":"Li","given":"Chan","non-dropping-particle":"","parse-names":false,"suffix":""},{"dropping-particle":"","family":"McVay","given":"Sarah E.","non-dropping-particle":"","parse-names":false,"suffix":""},{"dropping-particle":"","family":"Skaife","given":"Hollis","non-dropping-particle":"","parse-names":false,"suffix":""}],"container-title":"The Accounting Review","id":"ITEM-1","issue":"2","issued":{"date-parts":[["2015"]]},"note":"Inventory ICMW and inventory-related material weaknesses (i.e., lower inv turnover ratios and impairments)\n\nICMW affects firm operations\n\nremediation improves inv operations","page":"529-557","title":"Does Ineffective Internal Control over Financial Reporting affect a Firm's Operations? Evidence from Firms' Inventory Management","type":"article-journal","volume":"90"},"uris":["http://www.mendeley.com/documents/?uuid=a09975b0-02e2-44aa-add5-0547c55c469e"]},{"id":"ITEM-2","itemData":{"DOI":"10.1007/s11156-013-0431-3","ISSN":"15737179","abstract":"Previous studies demonstrate that the quality of audit services provided by industry specialist auditors is higher than that of non-specialist auditors (e.g., Reichelt and Wang in J Account Res 48(3):647–686, 2010; Gul et al. in J Account Econ 47:265–287, 2009; Payne in Audit J Pract Theory 27(2):109–136, 2008; Balsam et al. in Audit J Pract Theory 22(2):71–97, 2003; Krishnan in Account Horizons (Supplement):1–16, 2003). Implementation of Section 404 of the Sarbanes–Oxley Act (SOX) presents special challenges to auditors to maintain the credibility of audit services when their clients have internal control weaknesses (ICW). This study examines whether audits of ICW firms by industry-specialists reflect a better earnings quality compared to audits by non-specialists in the post-SOX period. We use the matched pair sample constructed on the basis of propensity score matching process that controls for endogeneity and auditor’s self-selection bias and evaluate earnings quality measured in terms of performance-adjusted discretionary accruals and accruals quality. Our multivariate regression analyses produce evidence that earnings quality of the ICW firms audited by Big 4 industry specialists is higher than that of the ICW firms audited by Big 4 non-specialists. The superior specialist effect is, however, mainly confined to the firms having pervasive company-level control weaknesses. We find inconsequential difference between earnings quality of the firms with account-specific ICW regardless of whether they are audited by specialist and non-specialist auditors. Our additional analyses further show that any earnings quality difference between Big 4 and non-Big 4 clients is mainly attributed to specialist audit services provided by Big 4 auditors. We do not find any earnings quality difference between Big 4 non-specialists and non-Big 4 clients. Collectively, our study shows that in the enhanced regulatory post-SOX period, Big 4 auditors still provide higher quality audits if they have industry expertise, especially in a situation where companies have pervasive company-level control weaknesses.","author":[{"dropping-particle":"","family":"Jaggi","given":"Bikki","non-dropping-particle":"","parse-names":false,"suffix":""},{"dropping-particle":"","family":"Mitra","given":"Santanu","non-dropping-particle":"","parse-names":false,"suffix":""},{"dropping-particle":"","family":"Hossain","given":"Mahmud","non-dropping-particle":"","parse-names":false,"suffix":""}],"container-title":"Review of Quantitative Finance and Accounting","id":"ITEM-2","issue":"1","issued":{"date-parts":[["2015"]]},"page":"1-32","title":"Earnings Quality, Internal Control Weaknesses and Industry-Specialist Audits","type":"article-journal","volume":"45"},"uris":["http://www.mendeley.com/documents/?uuid=5f375489-2020-4d78-8b08-db166087b055"]},{"id":"ITEM-3","itemData":{"DOI":"10.2308/acch-51310","ISSN":"15587975","abstract":"The purpose of this study is to investigate whether SOX Section 404 material weaknesses manifest in real earnings management behavior. The empirical findings indicate that, compared to companies with effective internal controls, companies with existing material weaknesses in their internal controls engage in more manipulation of real activities (particularly inventory overproduction). This implies that the weak commitment by management to provide effective internal control system and high-quality financial information relates to a tendency to use real earnings management methods. Moreover, we find evidence suggesting that companies employ real earnings management (overproduction and reduction of discretionary expenses) after disclosing previous year’s material weaknesses. We conjecture that the public disclosure of material weaknesses induces management to strive to mitigate the expected negative reactions of stakeholders to the disclosure by engaging in real earnings management, which is not easily detected or constrained by outsiders. Overall, this study suggests that material weaknesses in internal controls signal an environment where management is more inclined to employ real earnings management.","author":[{"dropping-particle":"","family":"Järvinen","given":"Tuukka","non-dropping-particle":"","parse-names":false,"suffix":""},{"dropping-particle":"","family":"Myllymäki","given":"Emma Riikka","non-dropping-particle":"","parse-names":false,"suffix":""}],"container-title":"The Accounting Horizons","id":"ITEM-3","issue":"1","issued":{"date-parts":[["2016"]]},"page":"93-118","title":"Real earnings management before and after reporting SOX 404 material weaknesses","type":"article-journal","volume":"30"},"uris":["http://www.mendeley.com/documents/?uuid=534f0f1e-6dca-4777-ad7e-6de0b27f2617"]},{"id":"ITEM-4","itemData":{"DOI":"10.2308/ajpt-51608","ISSN":"15587991","abstract":"SUMMARY: This study examines whether and how weak internal controls increase the risk of financial reporting fraud by top managers. There is a longstanding debate on whether control strength significantly affects fraud risk, yet little evidence on this issue. Further, there is no evidence on the mechanism linking control strength to fraud risk. We find a strong association between material weaknesses and future fraud revelation. We theorize that this link could be attributable to weak controls (1) giving managers greater opportunity to commit fraud, or (2) signaling a management characteristic that does not emphasize reporting quality and integrity. We find support for the opportunity explanation, but not through specific accounts linked to control weaknesses. Instead, consistent with the PCAOB’s assertion, weaknesses in entity-wide controls, not process-level controls, are associated with a higher risk of reporting fraud.","author":[{"dropping-particle":"","family":"Donelson","given":"Dain C.","non-dropping-particle":"","parse-names":false,"suffix":""},{"dropping-particle":"","family":"Ege","given":"Matthew S.","non-dropping-particle":"","parse-names":false,"suffix":""},{"dropping-particle":"","family":"McInnis","given":"John M.","non-dropping-particle":"","parse-names":false,"suffix":""}],"container-title":"Auditing: A Journal of Practice &amp; Theory","id":"ITEM-4","issue":"3","issued":{"date-parts":[["2017"]]},"note":"weak IC inc. risk of fin. reporting fraud","page":"45-69","title":"Internal Control Weaknesses and Financial Reporting Fraud","type":"article-journal","volume":"36"},"uris":["http://www.mendeley.com/documents/?uuid=3603c710-bd04-4348-84b1-61d8030d5d3b"]},{"id":"ITEM-5","itemData":{"DOI":"10.1111/1911-3846.12409","ISSN":"19113846","abstract":"In this study, we examine whether internal control over financial reporting affects firm operational efficiency. We find that operational efficiency, derived from frontier analysis, is significantly lower among firms with material weaknesses in internal control relative to firms without such weaknesses. We also find that the remediation of material weaknesses leads to an improvement in operational efficiency. Additional analyses indicate that the negative effect of material weaknesses on operational efficiency is stronger for firms with a greater demand for higher quality information for decision making, for weaknesses that are deemed to be more severe, and to a certain extent, for smaller firms. Overall, our study extends the literature by presenting systematic evidence on the effect of effective internal control on operational efficiency and informs the debate over the costs and benefits of the internal control reporting requirements under the Sarbanes-Oxley Act of 2002.","author":[{"dropping-particle":"","family":"Cheng","given":"Qiang","non-dropping-particle":"","parse-names":false,"suffix":""},{"dropping-particle":"","family":"Goh","given":"Beng Wee","non-dropping-particle":"","parse-names":false,"suffix":""},{"dropping-particle":"","family":"Kim","given":"Jae B.","non-dropping-particle":"","parse-names":false,"suffix":""}],"container-title":"Contemporary Accounting Research","id":"ITEM-5","issue":"2","issued":{"date-parts":[["2018"]]},"note":"ICMWs bad of operational efficiency\n\nICMWs --&amp;gt; erroneous internal reports --&amp;gt; lower operational efficiency","page":"1102-1139","title":"Internal Control and Operational Efficiency","type":"article-journal","volume":"35"},"uris":["http://www.mendeley.com/documents/?uuid=c4e13786-73c6-4bf9-96f3-c0bd9325e17f"]}],"mendeley":{"formattedCitation":"(Feng et al. 2015; Jaggi et al. 2015; Järvinen and Myllymäki 2016; Donelson et al. 2017; Cheng et al. 2018)","manualFormatting":"Feng, Li, McVay, and Skaife (2015), Jaggi, Mitra, and Hossain (2015), Järvinen and Myllymäki (2016), Donelson, Ege, and McInnis (2017), and Cheng, Goh, and Kim (2018)","plainTextFormattedCitation":"(Feng et al. 2015; Jaggi et al. 2015; Järvinen and Myllymäki 2016; Donelson et al. 2017; Cheng et al. 2018)","previouslyFormattedCitation":"(Feng et al. 2015; Jaggi et al. 2015; Järvinen and Myllymäki 2016; Donelson et al. 2017; Cheng et al. 2018)"},"properties":{"noteIndex":0},"schema":"https://github.com/citation-style-language/schema/raw/master/csl-citation.json"}</w:instrText>
      </w:r>
      <w:r w:rsidRPr="00FE04AA">
        <w:rPr>
          <w:rFonts w:ascii="Times New Roman" w:hAnsi="Times New Roman" w:cs="Times New Roman"/>
          <w:sz w:val="20"/>
          <w:szCs w:val="20"/>
        </w:rPr>
        <w:fldChar w:fldCharType="separate"/>
      </w:r>
      <w:r w:rsidRPr="00FE04AA">
        <w:rPr>
          <w:rFonts w:ascii="Times New Roman" w:hAnsi="Times New Roman" w:cs="Times New Roman"/>
          <w:noProof/>
          <w:sz w:val="20"/>
          <w:szCs w:val="20"/>
        </w:rPr>
        <w:t>Feng, Li, McVay, and Skaife (2015), Jaggi, Mitra, and Hossain (2015), Järvinen and Myllymäki (2016), Donelson, Ege, and McInnis (2017), and Cheng, Goh, and Kim (2018)</w:t>
      </w:r>
      <w:r w:rsidRPr="00FE04AA">
        <w:rPr>
          <w:rFonts w:ascii="Times New Roman" w:hAnsi="Times New Roman" w:cs="Times New Roman"/>
          <w:sz w:val="20"/>
          <w:szCs w:val="20"/>
        </w:rPr>
        <w:fldChar w:fldCharType="end"/>
      </w:r>
      <w:r w:rsidRPr="00FE04AA">
        <w:rPr>
          <w:rFonts w:ascii="Times New Roman" w:hAnsi="Times New Roman" w:cs="Times New Roman"/>
          <w:sz w:val="20"/>
          <w:szCs w:val="20"/>
        </w:rPr>
        <w:t>.</w:t>
      </w:r>
    </w:p>
  </w:footnote>
  <w:footnote w:id="9">
    <w:p w14:paraId="3956BE19" w14:textId="158706D6" w:rsidR="002F4C5B" w:rsidRPr="00F27518" w:rsidRDefault="002F4C5B">
      <w:pPr>
        <w:pStyle w:val="FootnoteText"/>
        <w:rPr>
          <w:rFonts w:ascii="Times New Roman" w:hAnsi="Times New Roman" w:cs="Times New Roman"/>
        </w:rPr>
      </w:pPr>
      <w:r w:rsidRPr="00F27518">
        <w:rPr>
          <w:rStyle w:val="FootnoteReference"/>
          <w:rFonts w:ascii="Times New Roman" w:hAnsi="Times New Roman" w:cs="Times New Roman"/>
        </w:rPr>
        <w:footnoteRef/>
      </w:r>
      <w:r w:rsidRPr="00F27518">
        <w:rPr>
          <w:rFonts w:ascii="Times New Roman" w:hAnsi="Times New Roman" w:cs="Times New Roman"/>
        </w:rPr>
        <w:t xml:space="preserve"> Anecdotal evidence from recent relocations of McKesson Corp., Honeywell, Newell Brands and Chipotle echo the allure of tax incentives and new talent </w:t>
      </w:r>
      <w:r w:rsidRPr="00F27518">
        <w:rPr>
          <w:rFonts w:ascii="Times New Roman" w:hAnsi="Times New Roman" w:cs="Times New Roman"/>
        </w:rPr>
        <w:fldChar w:fldCharType="begin" w:fldLock="1"/>
      </w:r>
      <w:r w:rsidRPr="00F27518">
        <w:rPr>
          <w:rFonts w:ascii="Times New Roman" w:hAnsi="Times New Roman" w:cs="Times New Roman"/>
        </w:rPr>
        <w:instrText>ADDIN CSL_CITATION {"citationItems":[{"id":"ITEM-1","itemData":{"author":[{"dropping-particle":"","family":"Barrabi","given":"Thomas","non-dropping-particle":"","parse-names":false,"suffix":""}],"container-title":"Fox Business","id":"ITEM-1","issued":{"date-parts":[["2018","11","30"]]},"title":"Corporate HQ Moves : Honeywell, Chipotle and Other Companies that Relocated","type":"article-newspaper"},"uris":["http://www.mendeley.com/documents/?uuid=99b19185-5434-4663-a052-0b716e1f3fa7"]},{"id":"ITEM-2","itemData":{"author":[{"dropping-particle":"","family":"Repko","given":"Melissa","non-dropping-particle":"","parse-names":false,"suffix":""}],"container-title":"The Dallas Morning News","id":"ITEM-2","issued":{"date-parts":[["2018","11","30"]]},"page":"1-6","publisher-place":"Dallas","title":"McKesson, Nation's Sixth Largest Company, is Moving Corporate HQ from California to Irving","type":"article-newspaper"},"uris":["http://www.mendeley.com/documents/?uuid=3fc455b7-45e0-4b63-8a05-9a5bdb60f59f"]}],"mendeley":{"formattedCitation":"(Barrabi 2018; Repko 2018)","manualFormatting":"(Barrabi 2018; Repko 2018)","plainTextFormattedCitation":"(Barrabi 2018; Repko 2018)","previouslyFormattedCitation":"(Barrabi 2018; Repko 2018)"},"properties":{"noteIndex":0},"schema":"https://github.com/citation-style-language/schema/raw/master/csl-citation.json"}</w:instrText>
      </w:r>
      <w:r w:rsidRPr="00F27518">
        <w:rPr>
          <w:rFonts w:ascii="Times New Roman" w:hAnsi="Times New Roman" w:cs="Times New Roman"/>
        </w:rPr>
        <w:fldChar w:fldCharType="separate"/>
      </w:r>
      <w:r w:rsidRPr="00F27518">
        <w:rPr>
          <w:rFonts w:ascii="Times New Roman" w:hAnsi="Times New Roman" w:cs="Times New Roman"/>
          <w:noProof/>
        </w:rPr>
        <w:t>(Barrabi, 2018; Repko, 2018)</w:t>
      </w:r>
      <w:r w:rsidRPr="00F27518">
        <w:rPr>
          <w:rFonts w:ascii="Times New Roman" w:hAnsi="Times New Roman" w:cs="Times New Roman"/>
        </w:rPr>
        <w:fldChar w:fldCharType="end"/>
      </w:r>
      <w:r w:rsidRPr="00F27518">
        <w:rPr>
          <w:rFonts w:ascii="Times New Roman" w:hAnsi="Times New Roman" w:cs="Times New Roman"/>
        </w:rPr>
        <w:t>.</w:t>
      </w:r>
    </w:p>
  </w:footnote>
  <w:footnote w:id="10">
    <w:p w14:paraId="294D5FFC" w14:textId="324F84EB" w:rsidR="00093D98" w:rsidRPr="00F27518" w:rsidRDefault="00093D98">
      <w:pPr>
        <w:pStyle w:val="FootnoteText"/>
        <w:rPr>
          <w:rFonts w:ascii="Times New Roman" w:hAnsi="Times New Roman" w:cs="Times New Roman"/>
        </w:rPr>
      </w:pPr>
      <w:r w:rsidRPr="00F27518">
        <w:rPr>
          <w:rStyle w:val="FootnoteReference"/>
          <w:rFonts w:ascii="Times New Roman" w:hAnsi="Times New Roman" w:cs="Times New Roman"/>
        </w:rPr>
        <w:footnoteRef/>
      </w:r>
      <w:r w:rsidRPr="00F27518">
        <w:rPr>
          <w:rFonts w:ascii="Times New Roman" w:hAnsi="Times New Roman" w:cs="Times New Roman"/>
        </w:rPr>
        <w:t xml:space="preserve"> However, </w:t>
      </w:r>
      <w:r w:rsidRPr="00F27518">
        <w:rPr>
          <w:rFonts w:ascii="Times New Roman" w:hAnsi="Times New Roman" w:cs="Times New Roman"/>
        </w:rPr>
        <w:fldChar w:fldCharType="begin" w:fldLock="1"/>
      </w:r>
      <w:r w:rsidRPr="00F27518">
        <w:rPr>
          <w:rFonts w:ascii="Times New Roman" w:hAnsi="Times New Roman" w:cs="Times New Roman"/>
        </w:rPr>
        <w:instrText>ADDIN CSL_CITATION {"citationItems":[{"id":"ITEM-1","itemData":{"DOI":"10.1111/j.1540-6261.2006.00895.x","ISSN":"00221082","abstract":"We document strong comovement in the stock returns of firms headquartered in the same geographic area. Moreover, stocks of companies that change their headquarters location experience a decrease in their comovement with stocks from the old location and an increase in their comovement with stocks from the new location. The local Comovement of stock returns is not explained by economic fundamentals and is stronger for smaller firms with more individual investors and in regions with less financially sophisticated residents. We argue that price formation in equity markets has a significant geographic component linked to the trading patterns of local residents.","author":[{"dropping-particle":"","family":"Pirinsky","given":"Christo","non-dropping-particle":"","parse-names":false,"suffix":""},{"dropping-particle":"","family":"Wang","given":"Qinghai","non-dropping-particle":"","parse-names":false,"suffix":""}],"container-title":"Journal of Finance","id":"ITEM-1","issue":"4","issued":{"date-parts":[["2006"]]},"page":"1991-2015","title":"Does corporate headquarters location matter for stock returns?","type":"article-journal","volume":"61"},"uris":["http://www.mendeley.com/documents/?uuid=d3902b2a-749f-40ce-84c6-abb7ee59a4a7"]}],"mendeley":{"formattedCitation":"(Pirinsky and Wang 2006)","manualFormatting":"Pirinsky and Wang (2006)","plainTextFormattedCitation":"(Pirinsky and Wang 2006)","previouslyFormattedCitation":"(Pirinsky and Wang 2006)"},"properties":{"noteIndex":0},"schema":"https://github.com/citation-style-language/schema/raw/master/csl-citation.json"}</w:instrText>
      </w:r>
      <w:r w:rsidRPr="00F27518">
        <w:rPr>
          <w:rFonts w:ascii="Times New Roman" w:hAnsi="Times New Roman" w:cs="Times New Roman"/>
        </w:rPr>
        <w:fldChar w:fldCharType="separate"/>
      </w:r>
      <w:r w:rsidRPr="00F27518">
        <w:rPr>
          <w:rFonts w:ascii="Times New Roman" w:hAnsi="Times New Roman" w:cs="Times New Roman"/>
          <w:noProof/>
        </w:rPr>
        <w:t>Pirinsky and Wang (2006)</w:t>
      </w:r>
      <w:r w:rsidRPr="00F27518">
        <w:rPr>
          <w:rFonts w:ascii="Times New Roman" w:hAnsi="Times New Roman" w:cs="Times New Roman"/>
        </w:rPr>
        <w:fldChar w:fldCharType="end"/>
      </w:r>
      <w:r w:rsidRPr="00F27518">
        <w:rPr>
          <w:rFonts w:ascii="Times New Roman" w:hAnsi="Times New Roman" w:cs="Times New Roman"/>
        </w:rPr>
        <w:t xml:space="preserve"> finds that when firms relocate to localities with other firms in their industry, their stock performs better immediately after the move suggesting that the relocation had a favorable outcome.</w:t>
      </w:r>
    </w:p>
  </w:footnote>
  <w:footnote w:id="11">
    <w:p w14:paraId="2D7BC31A" w14:textId="38D46CA4" w:rsidR="00385A6D" w:rsidRPr="00C755A0" w:rsidRDefault="00385A6D" w:rsidP="00385A6D">
      <w:pPr>
        <w:pStyle w:val="FootnoteText"/>
        <w:rPr>
          <w:rFonts w:ascii="Times New Roman" w:hAnsi="Times New Roman" w:cs="Times New Roman"/>
        </w:rPr>
      </w:pPr>
      <w:r w:rsidRPr="00F27518">
        <w:rPr>
          <w:rStyle w:val="FootnoteReference"/>
          <w:rFonts w:ascii="Times New Roman" w:hAnsi="Times New Roman" w:cs="Times New Roman"/>
        </w:rPr>
        <w:footnoteRef/>
      </w:r>
      <w:r w:rsidRPr="00F27518">
        <w:rPr>
          <w:rFonts w:ascii="Times New Roman" w:hAnsi="Times New Roman" w:cs="Times New Roman"/>
        </w:rPr>
        <w:t xml:space="preserve"> </w:t>
      </w:r>
      <w:r w:rsidRPr="00F27518">
        <w:rPr>
          <w:rFonts w:ascii="Times New Roman" w:hAnsi="Times New Roman" w:cs="Times New Roman"/>
        </w:rPr>
        <w:fldChar w:fldCharType="begin" w:fldLock="1"/>
      </w:r>
      <w:r w:rsidRPr="00F27518">
        <w:rPr>
          <w:rFonts w:ascii="Times New Roman" w:hAnsi="Times New Roman" w:cs="Times New Roman"/>
        </w:rPr>
        <w:instrText>ADDIN CSL_CITATION {"citationItems":[{"id":"ITEM-1","itemData":{"DOI":"10.2308/accr-50909","ISSN":"00014826","abstract":"We investigate whether ineffective internal control over financial reporting has implications for firm operations by examining the association between inventoryrelated material weaknesses in internal control over financial reporting and firms' inventory management. We find that firms with inventory-related material weaknesses have systematically lower inventory turnover ratios and are more likely to report inventory impairments relative to firms with effective internal control over financial reporting. We also find that inventory turnover rates increase for firms that remediate material weaknesses related to inventory tracking. Remediating firms also experience increases in sales, gross profit, and operating cash flows. Finally, we assess the generalizability of our findings by examining all material weaknesses in internal control over financial reporting, regardless of type, and provide evidence that firms' returns on assets are associated with both their existence and remediation. Collectively, our findings support the general hypothesis that internal control over financial reporting has an economically significant effect on firm operations.","author":[{"dropping-particle":"","family":"Feng","given":"Mei","non-dropping-particle":"","parse-names":false,"suffix":""},{"dropping-particle":"","family":"Li","given":"Chan","non-dropping-particle":"","parse-names":false,"suffix":""},{"dropping-particle":"","family":"McVay","given":"Sarah E.","non-dropping-particle":"","parse-names":false,"suffix":""},{"dropping-particle":"","family":"Skaife","given":"Hollis","non-dropping-particle":"","parse-names":false,"suffix":""}],"container-title":"The Accounting Review","id":"ITEM-1","issue":"2","issued":{"date-parts":[["2015"]]},"note":"Inventory ICMW and inventory-related material weaknesses (i.e., lower inv turnover ratios and impairments)\n\nICMW affects firm operations\n\nremediation improves inv operations","page":"529-557","title":"Does Ineffective Internal Control over Financial Reporting affect a Firm's Operations? Evidence from Firms' Inventory Management","type":"article-journal","volume":"90"},"uris":["http://www.mendeley.com/documents/?uuid=a09975b0-02e2-44aa-add5-0547c55c469e"]}],"mendeley":{"formattedCitation":"(Feng et al. 2015)","manualFormatting":"Feng et al. (2015)","plainTextFormattedCitation":"(Feng et al. 2015)","previouslyFormattedCitation":"(Feng et al. 2015)"},"properties":{"noteIndex":0},"schema":"https://github.com/citation-style-language/schema/raw/master/csl-citation.json"}</w:instrText>
      </w:r>
      <w:r w:rsidRPr="00F27518">
        <w:rPr>
          <w:rFonts w:ascii="Times New Roman" w:hAnsi="Times New Roman" w:cs="Times New Roman"/>
        </w:rPr>
        <w:fldChar w:fldCharType="separate"/>
      </w:r>
      <w:r w:rsidRPr="00F27518">
        <w:rPr>
          <w:rFonts w:ascii="Times New Roman" w:hAnsi="Times New Roman" w:cs="Times New Roman"/>
          <w:noProof/>
        </w:rPr>
        <w:t xml:space="preserve">Feng </w:t>
      </w:r>
      <w:r w:rsidR="00ED2DA4" w:rsidRPr="00F27518">
        <w:rPr>
          <w:rFonts w:ascii="Times New Roman" w:hAnsi="Times New Roman" w:cs="Times New Roman"/>
          <w:i/>
          <w:noProof/>
        </w:rPr>
        <w:t>et al</w:t>
      </w:r>
      <w:r w:rsidRPr="00F27518">
        <w:rPr>
          <w:rFonts w:ascii="Times New Roman" w:hAnsi="Times New Roman" w:cs="Times New Roman"/>
          <w:i/>
          <w:noProof/>
        </w:rPr>
        <w:t>.</w:t>
      </w:r>
      <w:r w:rsidRPr="00F27518">
        <w:rPr>
          <w:rFonts w:ascii="Times New Roman" w:hAnsi="Times New Roman" w:cs="Times New Roman"/>
          <w:noProof/>
        </w:rPr>
        <w:t xml:space="preserve"> (2015)</w:t>
      </w:r>
      <w:r w:rsidRPr="00F27518">
        <w:rPr>
          <w:rFonts w:ascii="Times New Roman" w:hAnsi="Times New Roman" w:cs="Times New Roman"/>
        </w:rPr>
        <w:fldChar w:fldCharType="end"/>
      </w:r>
      <w:r w:rsidRPr="00F27518">
        <w:rPr>
          <w:rFonts w:ascii="Times New Roman" w:hAnsi="Times New Roman" w:cs="Times New Roman"/>
        </w:rPr>
        <w:t xml:space="preserve"> find that firms that report inventory-related </w:t>
      </w:r>
      <w:r w:rsidR="00AF19A3" w:rsidRPr="00F27518">
        <w:rPr>
          <w:rFonts w:ascii="Times New Roman" w:hAnsi="Times New Roman" w:cs="Times New Roman"/>
        </w:rPr>
        <w:t xml:space="preserve">internal control material weaknesses </w:t>
      </w:r>
      <w:r w:rsidRPr="00F27518">
        <w:rPr>
          <w:rFonts w:ascii="Times New Roman" w:hAnsi="Times New Roman" w:cs="Times New Roman"/>
        </w:rPr>
        <w:t xml:space="preserve">are more likely to experience inventory-related issues, such as lower inventory turnover ratios and more inventory impairments. See </w:t>
      </w:r>
      <w:r w:rsidRPr="00F27518">
        <w:rPr>
          <w:rFonts w:ascii="Times New Roman" w:hAnsi="Times New Roman" w:cs="Times New Roman"/>
        </w:rPr>
        <w:fldChar w:fldCharType="begin" w:fldLock="1"/>
      </w:r>
      <w:r w:rsidRPr="00F27518">
        <w:rPr>
          <w:rFonts w:ascii="Times New Roman" w:hAnsi="Times New Roman" w:cs="Times New Roman"/>
        </w:rPr>
        <w:instrText>ADDIN CSL_CITATION {"citationItems":[{"id":"ITEM-1","itemData":{"DOI":"10.1016/j.acclit.2018.03.002","ISSN":"07374607","abstract":"In 2001, the US moved to regulate internal control reporting by management and auditors. While some jurisdictions have followed the lead of the US, many others have not. An important question, therefore, is the relevance of internal control to stakeholders. The more specific issue of the benefits of US-style regulation of internal control reporting is also topical. We review studies on the determinants of internal control quality and its economic consequences for stakeholders including investors, creditors, managers, auditors and financial analysts. We extend previous reviews by focusing on US studies published since 2013 as well as all non-US studies investigating IC quality including countries regulating IC disclosure as well as unregulated settings and both developed and developing economies. In doing so, we identify research questions where evidence remains mixed and new directions in which there are research opportunities. Three main insights arise from our analysis. First, evidence on the economic consequences of internal control quality suggests that the quality of internal control can have a significant effect on decision making by users of financial information. Second, the results of research on the empirical association between ownership structure, certain board characteristics and internal control quality is generally mixed. Empirical evidence concerning the association between audit committee characteristics and internal control quality generally supports a positive and significant association. Finally, while studies in non-US jurisdictions are increasing, opportunities remain to explore the determinants and consequences of internal control in other jurisdictions. Our review provides evidence for policy makers of whether there are benefits from requiring management and auditors to report on internal control over financial reporting.","author":[{"dropping-particle":"","family":"Chalmers","given":"Keryn","non-dropping-particle":"","parse-names":false,"suffix":""},{"dropping-particle":"","family":"Hay","given":"David","non-dropping-particle":"","parse-names":false,"suffix":""},{"dropping-particle":"","family":"Khlif","given":"Hichem","non-dropping-particle":"","parse-names":false,"suffix":""}],"container-title":"Journal of Accounting Literature","id":"ITEM-1","issue":"March 2018","issued":{"date-parts":[["2019"]]},"page":"80-103","title":"Internal Control in Accounting Research: A review","type":"article-journal","volume":"42"},"uris":["http://www.mendeley.com/documents/?uuid=c9ed26ee-f8af-40a8-960b-445eaddf6709"]}],"mendeley":{"formattedCitation":"(Chalmers et al. 2019)","manualFormatting":"Chalmers, Hay, and Khlif (2019","plainTextFormattedCitation":"(Chalmers et al. 2019)","previouslyFormattedCitation":"(Chalmers et al. 2019)"},"properties":{"noteIndex":0},"schema":"https://github.com/citation-style-language/schema/raw/master/csl-citation.json"}</w:instrText>
      </w:r>
      <w:r w:rsidRPr="00F27518">
        <w:rPr>
          <w:rFonts w:ascii="Times New Roman" w:hAnsi="Times New Roman" w:cs="Times New Roman"/>
        </w:rPr>
        <w:fldChar w:fldCharType="separate"/>
      </w:r>
      <w:r w:rsidRPr="00F27518">
        <w:rPr>
          <w:rFonts w:ascii="Times New Roman" w:hAnsi="Times New Roman" w:cs="Times New Roman"/>
          <w:noProof/>
        </w:rPr>
        <w:t>Chalmers, Hay, and Khlif (2019</w:t>
      </w:r>
      <w:r w:rsidRPr="00F27518">
        <w:rPr>
          <w:rFonts w:ascii="Times New Roman" w:hAnsi="Times New Roman" w:cs="Times New Roman"/>
        </w:rPr>
        <w:fldChar w:fldCharType="end"/>
      </w:r>
      <w:r w:rsidRPr="00F27518">
        <w:rPr>
          <w:rFonts w:ascii="Times New Roman" w:hAnsi="Times New Roman" w:cs="Times New Roman"/>
        </w:rPr>
        <w:t xml:space="preserve">) for a recent literature review of internal control studies in accounting. </w:t>
      </w:r>
    </w:p>
  </w:footnote>
  <w:footnote w:id="12">
    <w:p w14:paraId="7FF8784F" w14:textId="5C6F6647" w:rsidR="00385A6D" w:rsidRPr="005A1A5E" w:rsidRDefault="00385A6D" w:rsidP="00385A6D">
      <w:pPr>
        <w:pStyle w:val="FootnoteText"/>
        <w:rPr>
          <w:rFonts w:ascii="Times New Roman" w:hAnsi="Times New Roman" w:cs="Times New Roman"/>
        </w:rPr>
      </w:pPr>
      <w:r w:rsidRPr="0032512C">
        <w:rPr>
          <w:rStyle w:val="FootnoteReference"/>
        </w:rPr>
        <w:footnoteRef/>
      </w:r>
      <w:r w:rsidRPr="005A1A5E">
        <w:rPr>
          <w:rFonts w:ascii="Times New Roman" w:hAnsi="Times New Roman" w:cs="Times New Roman"/>
        </w:rPr>
        <w:t xml:space="preserve"> Recently, the SEC issued a proposal for firms </w:t>
      </w:r>
      <w:r w:rsidRPr="001F56DB">
        <w:rPr>
          <w:rFonts w:ascii="Times New Roman" w:hAnsi="Times New Roman" w:cs="Times New Roman"/>
        </w:rPr>
        <w:t xml:space="preserve">to </w:t>
      </w:r>
      <w:r w:rsidRPr="008507E8">
        <w:rPr>
          <w:rFonts w:ascii="Times New Roman" w:hAnsi="Times New Roman" w:cs="Times New Roman"/>
        </w:rPr>
        <w:t>disclose employee changes</w:t>
      </w:r>
      <w:r w:rsidRPr="005A1A5E">
        <w:rPr>
          <w:rFonts w:ascii="Times New Roman" w:hAnsi="Times New Roman" w:cs="Times New Roman"/>
        </w:rPr>
        <w:t xml:space="preserve"> and significant employee events</w:t>
      </w:r>
      <w:r w:rsidR="00460B71">
        <w:rPr>
          <w:rFonts w:ascii="Times New Roman" w:hAnsi="Times New Roman" w:cs="Times New Roman"/>
        </w:rPr>
        <w:t>, such as significant turnover, hiring, and management practices,</w:t>
      </w:r>
      <w:r w:rsidRPr="005A1A5E">
        <w:rPr>
          <w:rFonts w:ascii="Times New Roman" w:hAnsi="Times New Roman" w:cs="Times New Roman"/>
        </w:rPr>
        <w:t xml:space="preserve"> and their impact on firm operations </w:t>
      </w:r>
      <w:r w:rsidRPr="005A1A5E">
        <w:rPr>
          <w:rFonts w:ascii="Times New Roman" w:hAnsi="Times New Roman" w:cs="Times New Roman"/>
        </w:rPr>
        <w:fldChar w:fldCharType="begin" w:fldLock="1"/>
      </w:r>
      <w:r>
        <w:rPr>
          <w:rFonts w:ascii="Times New Roman" w:hAnsi="Times New Roman" w:cs="Times New Roman"/>
        </w:rPr>
        <w:instrText>ADDIN CSL_CITATION {"citationItems":[{"id":"ITEM-1","itemData":{"author":[{"dropping-particle":"","family":"Securities and Exchange Commission","given":"","non-dropping-particle":"","parse-names":false,"suffix":""}],"id":"ITEM-1","issued":{"date-parts":[["2019"]]},"title":"Modernization of Regulation S-K Items 101, 103, and 105","type":"legislation"},"uris":["http://www.mendeley.com/documents/?uuid=dc48080b-100c-4a72-b3f8-f8b3a478f352"]}],"mendeley":{"formattedCitation":"(Securities and Exchange Commission 2019)","manualFormatting":"(SEC 2019).","plainTextFormattedCitation":"(Securities and Exchange Commission 2019)","previouslyFormattedCitation":"(Securities and Exchange Commission 2019)"},"properties":{"noteIndex":0},"schema":"https://github.com/citation-style-language/schema/raw/master/csl-citation.json"}</w:instrText>
      </w:r>
      <w:r w:rsidRPr="005A1A5E">
        <w:rPr>
          <w:rFonts w:ascii="Times New Roman" w:hAnsi="Times New Roman" w:cs="Times New Roman"/>
        </w:rPr>
        <w:fldChar w:fldCharType="separate"/>
      </w:r>
      <w:r w:rsidRPr="005A1A5E">
        <w:rPr>
          <w:rFonts w:ascii="Times New Roman" w:hAnsi="Times New Roman" w:cs="Times New Roman"/>
          <w:noProof/>
        </w:rPr>
        <w:t>(SEC</w:t>
      </w:r>
      <w:r w:rsidR="009363C3">
        <w:rPr>
          <w:rFonts w:ascii="Times New Roman" w:hAnsi="Times New Roman" w:cs="Times New Roman"/>
          <w:noProof/>
        </w:rPr>
        <w:t>,</w:t>
      </w:r>
      <w:r w:rsidRPr="005A1A5E">
        <w:rPr>
          <w:rFonts w:ascii="Times New Roman" w:hAnsi="Times New Roman" w:cs="Times New Roman"/>
          <w:noProof/>
        </w:rPr>
        <w:t xml:space="preserve"> 2019).</w:t>
      </w:r>
      <w:r w:rsidRPr="005A1A5E">
        <w:rPr>
          <w:rFonts w:ascii="Times New Roman" w:hAnsi="Times New Roman" w:cs="Times New Roman"/>
        </w:rPr>
        <w:fldChar w:fldCharType="end"/>
      </w:r>
    </w:p>
  </w:footnote>
  <w:footnote w:id="13">
    <w:p w14:paraId="7A2C73EB" w14:textId="77777777" w:rsidR="00385A6D" w:rsidRPr="0064641F" w:rsidRDefault="00385A6D" w:rsidP="00385A6D">
      <w:pPr>
        <w:spacing w:after="0" w:line="240" w:lineRule="auto"/>
        <w:rPr>
          <w:rFonts w:ascii="Times New Roman" w:hAnsi="Times New Roman" w:cs="Times New Roman"/>
          <w:sz w:val="20"/>
          <w:szCs w:val="20"/>
        </w:rPr>
      </w:pPr>
      <w:r w:rsidRPr="00B9791F">
        <w:rPr>
          <w:rStyle w:val="FootnoteReference"/>
          <w:rFonts w:ascii="Times New Roman" w:hAnsi="Times New Roman" w:cs="Times New Roman"/>
          <w:sz w:val="20"/>
          <w:szCs w:val="20"/>
        </w:rPr>
        <w:footnoteRef/>
      </w:r>
      <w:r w:rsidRPr="00B9791F">
        <w:rPr>
          <w:rFonts w:ascii="Times New Roman" w:hAnsi="Times New Roman" w:cs="Times New Roman"/>
          <w:sz w:val="20"/>
          <w:szCs w:val="20"/>
        </w:rPr>
        <w:t xml:space="preserve"> It follows that the </w:t>
      </w:r>
      <w:r w:rsidRPr="00B9791F">
        <w:rPr>
          <w:rFonts w:ascii="Times New Roman" w:hAnsi="Times New Roman" w:cs="Times New Roman"/>
          <w:i/>
          <w:iCs/>
          <w:sz w:val="20"/>
          <w:szCs w:val="20"/>
        </w:rPr>
        <w:t>extent</w:t>
      </w:r>
      <w:r w:rsidRPr="00B9791F">
        <w:rPr>
          <w:rFonts w:ascii="Times New Roman" w:hAnsi="Times New Roman" w:cs="Times New Roman"/>
          <w:sz w:val="20"/>
          <w:szCs w:val="20"/>
        </w:rPr>
        <w:t xml:space="preserve"> </w:t>
      </w:r>
      <w:r w:rsidRPr="0064641F">
        <w:rPr>
          <w:rFonts w:ascii="Times New Roman" w:hAnsi="Times New Roman" w:cs="Times New Roman"/>
          <w:sz w:val="20"/>
          <w:szCs w:val="20"/>
        </w:rPr>
        <w:t xml:space="preserve">of employee disruption would heighten the expected association. However, measuring employee disruption is challenging because it is not readily observable. We reference studies surveying employees of relocating firms to understand the source of relocation disruption variation and identify a reliable proxy. </w:t>
      </w:r>
    </w:p>
  </w:footnote>
  <w:footnote w:id="14">
    <w:p w14:paraId="1667FD14" w14:textId="4883BC9B" w:rsidR="00385A6D" w:rsidRPr="00103326" w:rsidRDefault="00385A6D" w:rsidP="00385A6D">
      <w:pPr>
        <w:pStyle w:val="FootnoteText"/>
        <w:rPr>
          <w:rFonts w:ascii="Times New Roman" w:hAnsi="Times New Roman" w:cs="Times New Roman"/>
        </w:rPr>
      </w:pPr>
      <w:r w:rsidRPr="00103326">
        <w:rPr>
          <w:rStyle w:val="FootnoteReference"/>
          <w:rFonts w:ascii="Times New Roman" w:hAnsi="Times New Roman" w:cs="Times New Roman"/>
        </w:rPr>
        <w:footnoteRef/>
      </w:r>
      <w:r w:rsidRPr="00E30DF6">
        <w:rPr>
          <w:rFonts w:ascii="Times New Roman" w:hAnsi="Times New Roman" w:cs="Times New Roman"/>
        </w:rPr>
        <w:t xml:space="preserve"> Existing literature examining employee turnover, one type of employee disruption, suggests a generally negative relationship between employee turnover and firm performance (i.e., sales growth, ROA, ROE, store productivity) due to the loss of skilled and experienced employees and expense of corporate resources to find suitable replacements </w:t>
      </w:r>
      <w:r w:rsidRPr="00E30DF6">
        <w:rPr>
          <w:rFonts w:ascii="Times New Roman" w:hAnsi="Times New Roman" w:cs="Times New Roman"/>
        </w:rPr>
        <w:fldChar w:fldCharType="begin" w:fldLock="1"/>
      </w:r>
      <w:r>
        <w:rPr>
          <w:rFonts w:ascii="Times New Roman" w:hAnsi="Times New Roman" w:cs="Times New Roman"/>
        </w:rPr>
        <w:instrText>ADDIN CSL_CITATION {"citationItems":[{"id":"ITEM-1","itemData":{"DOI":"10.5465/AMR.2001.4845830","ISSN":"03637425","abstract":"We propose a supplemental perspective, based on organizational social capital, for examining the voluntary turnover-organizational performance relationship. We view existing organizational-level theories as those focusing on cost or human capital issues or, rarely, on a balance among these factors. But rapid changes in the nature of work, organizational structures, and interorganizational competitiveness increase the importance of studying the role of social capital in the voluntary turnover-organizational performance relationship. We highlight areas of correspondence and divergence among the various perspectives, discuss implications for various performance measures, and outline several research directions.","author":[{"dropping-particle":"","family":"Dess","given":"Gregory G.","non-dropping-particle":"","parse-names":false,"suffix":""},{"dropping-particle":"","family":"Shaw","given":"Jason D.","non-dropping-particle":"","parse-names":false,"suffix":""}],"container-title":"Academy of Management Review","id":"ITEM-1","issue":"3","issued":{"date-parts":[["2001"]]},"page":"446-456","title":"Voluntary Turnover, Social Capital, and Organizational Performance","type":"article-journal","volume":"26"},"uris":["http://www.mendeley.com/documents/?uuid=dab20d05-0671-42ef-8f5f-7d5e53a83eeb"]},{"id":"ITEM-2","itemData":{"DOI":"10.5465/AMJ.2005.17843940","ISSN":"00014273","abstract":"A theory of turnover, social capital losses, and store performance was developed and tested in 38 locations of a restaurant chain. We assessed the ability of social capital losses to predict variance in store-level performance above and beyond that predicted by overall turnover rate and in-role performance losses from turnover. We further predicted that turnover rate and network density would moderate the curvilinear relationship between social capital losses and performance. Results strongly supported turnover rate's moderation of social capital losses: performance declines from network disruptions were more apparent when overall turnover was low. The network density interaction prediction was not supported.","author":[{"dropping-particle":"","family":"Shaw","given":"Jason D.","non-dropping-particle":"","parse-names":false,"suffix":""},{"dropping-particle":"","family":"Duffy","given":"Michelle K.","non-dropping-particle":"","parse-names":false,"suffix":""},{"dropping-particle":"","family":"Johnson","given":"Jonathan L.","non-dropping-particle":"","parse-names":false,"suffix":""},{"dropping-particle":"","family":"Lockhart","given":"Daniel E.","non-dropping-particle":"","parse-names":false,"suffix":""}],"container-title":"Academy of Management Journal","id":"ITEM-2","issue":"4","issued":{"date-parts":[["2005"]]},"page":"594-606","title":"Turnover, Social Capital Losses, and Performance","type":"article-journal","volume":"48"},"uris":["http://www.mendeley.com/documents/?uuid=5150440d-0015-4166-bae1-6a00d5d347da"]},{"id":"ITEM-3","itemData":{"DOI":"10.1080/09585192.2018.1449129","ISSN":"14664399","abstract":"This article intends to further unravel the relationship between employee turnover and organizational performance. We test a complex non-linear relationship between turnover and performance, integrating different theoretical views (i.e. theories on human and social capital, operational disruptions and organizational learning) and using polynomial regressions. Based on organizational routines theory, we also consider the role of turnover volatility, i.e. the turbulence in turnover across time. To this end, we make use of longitudinal data of Belgian firms over a period of 10 years (1999–2008). Our results confirm the complex non-linear relationship such that organizations’ labor productivity increases at low levels of turnover, reaches a peak and decreases afterwards in a negatively attenuated fashion. Moreover, turnover volatility is negatively associated with labor productivity, suggesting that organizations find it especially difficult to deal with strong and frequent changes in turnover across time. Finally, volatility also moderates the relationship between employee turnover and labor productivity. The higher turnover volatility, the less outspoken the positive results of small amounts of turnover. At high levels of turnover, firms with medium volatility suffer the most negative effects. Both research and practical implications of these findings are considered.","author":[{"dropping-particle":"","family":"Winne","given":"Sophie","non-dropping-particle":"De","parse-names":false,"suffix":""},{"dropping-particle":"","family":"Marescaux","given":"Elise","non-dropping-particle":"","parse-names":false,"suffix":""},{"dropping-particle":"","family":"Sels","given":"Luc","non-dropping-particle":"","parse-names":false,"suffix":""},{"dropping-particle":"","family":"Beveren","given":"Ilke","non-dropping-particle":"Van","parse-names":false,"suffix":""},{"dropping-particle":"","family":"Vanormelingen","given":"Stijn","non-dropping-particle":"","parse-names":false,"suffix":""}],"container-title":"International Journal of Human Resource Management","id":"ITEM-3","issue":"21","issued":{"date-parts":[["2019"]]},"page":"3049-3079","publisher":"Routledge","title":"The Impact of Employee Turnover and Turnover Volatility on Labor Productivity: A Flexible Non-Linear Approach","type":"article-journal","volume":"30"},"uris":["http://www.mendeley.com/documents/?uuid=f2b959f3-dbf8-446c-a9cb-629b3bec0cfe"]},{"id":"ITEM-4","itemData":{"ISBN":"9781119130536","abstract":"Employee turnover is a significant cost for businesses and a key human capital metric, but firms do not disclose this measure. We examine whether turnover is informative about future firm performance using a large panel of turnover data extracted from employees’ online profiles. We find that turnover is negatively associated with future financial performance (one-quarter ahead ROA and sales growth). The negative association between turnover and future performance is stronger for small firms, for young firms, for firms with low labor intensity, when the local labor market is tight, and when the firm is trying to replace departing employees. The negative association disappears when turnover is very low, suggesting that a certain amount of turnover can be beneficial. Consistent with the concern that turnover increases operational uncertainty, we find a positive association between turnover and the uncertainty of future financial performance. Finally, we find a significant association between turnover and future stock returns, suggesting that investors do not fully incorporate turnover information. Our findings answer the call from the SEC to determine the importance of turnover disclosure.","author":[{"dropping-particle":"","family":"Li","given":"Qin","non-dropping-particle":"","parse-names":false,"suffix":""},{"dropping-particle":"","family":"Lourie","given":"Ben","non-dropping-particle":"","parse-names":false,"suffix":""},{"dropping-particle":"","family":"Nekrasov","given":"Alexander","non-dropping-particle":"","parse-names":false,"suffix":""},{"dropping-particle":"","family":"Shevlin","given":"Terry","non-dropping-particle":"","parse-names":false,"suffix":""}],"container-title":"Management Science","id":"ITEM-4","issue":"January 2022","issued":{"date-parts":[["2021"]]},"page":"Forthcoming","title":"Employee Turnover and Firm Performance: Large-Sample Archival Evidence","type":"article-journal"},"uris":["http://www.mendeley.com/documents/?uuid=24713980-7f0d-453e-97b9-f8ab5a18b7c3"]}],"mendeley":{"formattedCitation":"(Dess and Shaw 2001; Shaw et al. 2005; De Winne et al. 2019; Li et al. 2021)","manualFormatting":"(Dess and Shaw 2001; Shaw, Duffy, Johnson, and Lockhart 2005; De Winne, Marescaux, Sels, Van Beveren, and Vanormelingen 2019; Li, Lourie, Nekrasov, and Shevlin 2021)","plainTextFormattedCitation":"(Dess and Shaw 2001; Shaw et al. 2005; De Winne et al. 2019; Li et al. 2021)","previouslyFormattedCitation":"(Dess and Shaw 2001; Shaw et al. 2005; De Winne et al. 2019; Li et al. 2021)"},"properties":{"noteIndex":0},"schema":"https://github.com/citation-style-language/schema/raw/master/csl-citation.json"}</w:instrText>
      </w:r>
      <w:r w:rsidRPr="00E30DF6">
        <w:rPr>
          <w:rFonts w:ascii="Times New Roman" w:hAnsi="Times New Roman" w:cs="Times New Roman"/>
        </w:rPr>
        <w:fldChar w:fldCharType="separate"/>
      </w:r>
      <w:r w:rsidRPr="00E30DF6">
        <w:rPr>
          <w:rFonts w:ascii="Times New Roman" w:hAnsi="Times New Roman" w:cs="Times New Roman"/>
          <w:noProof/>
        </w:rPr>
        <w:t>(Dess and Shaw</w:t>
      </w:r>
      <w:r w:rsidR="009363C3">
        <w:rPr>
          <w:rFonts w:ascii="Times New Roman" w:hAnsi="Times New Roman" w:cs="Times New Roman"/>
          <w:noProof/>
        </w:rPr>
        <w:t>,</w:t>
      </w:r>
      <w:r w:rsidRPr="00E30DF6">
        <w:rPr>
          <w:rFonts w:ascii="Times New Roman" w:hAnsi="Times New Roman" w:cs="Times New Roman"/>
          <w:noProof/>
        </w:rPr>
        <w:t xml:space="preserve"> 2001; Shaw</w:t>
      </w:r>
      <w:r>
        <w:rPr>
          <w:rFonts w:ascii="Times New Roman" w:hAnsi="Times New Roman" w:cs="Times New Roman"/>
          <w:noProof/>
        </w:rPr>
        <w:t>, Duffy, Johnson, and Lockhart</w:t>
      </w:r>
      <w:r w:rsidR="009363C3">
        <w:rPr>
          <w:rFonts w:ascii="Times New Roman" w:hAnsi="Times New Roman" w:cs="Times New Roman"/>
          <w:noProof/>
        </w:rPr>
        <w:t>,</w:t>
      </w:r>
      <w:r w:rsidRPr="00E30DF6">
        <w:rPr>
          <w:rFonts w:ascii="Times New Roman" w:hAnsi="Times New Roman" w:cs="Times New Roman"/>
          <w:noProof/>
        </w:rPr>
        <w:t xml:space="preserve"> 2005; De Winne</w:t>
      </w:r>
      <w:r>
        <w:rPr>
          <w:rFonts w:ascii="Times New Roman" w:hAnsi="Times New Roman" w:cs="Times New Roman"/>
          <w:noProof/>
        </w:rPr>
        <w:t>, Marescaux, Sels, Van Beveren, and Vanormelingen</w:t>
      </w:r>
      <w:r w:rsidR="009363C3">
        <w:rPr>
          <w:rFonts w:ascii="Times New Roman" w:hAnsi="Times New Roman" w:cs="Times New Roman"/>
          <w:noProof/>
        </w:rPr>
        <w:t>,</w:t>
      </w:r>
      <w:r w:rsidRPr="00E30DF6">
        <w:rPr>
          <w:rFonts w:ascii="Times New Roman" w:hAnsi="Times New Roman" w:cs="Times New Roman"/>
          <w:noProof/>
        </w:rPr>
        <w:t xml:space="preserve"> 2019; Li</w:t>
      </w:r>
      <w:r>
        <w:rPr>
          <w:rFonts w:ascii="Times New Roman" w:hAnsi="Times New Roman" w:cs="Times New Roman"/>
          <w:noProof/>
        </w:rPr>
        <w:t>, Lourie, Nekrasov, and Shevlin</w:t>
      </w:r>
      <w:r w:rsidR="009363C3">
        <w:rPr>
          <w:rFonts w:ascii="Times New Roman" w:hAnsi="Times New Roman" w:cs="Times New Roman"/>
          <w:noProof/>
        </w:rPr>
        <w:t>,</w:t>
      </w:r>
      <w:r w:rsidRPr="00E30DF6">
        <w:rPr>
          <w:rFonts w:ascii="Times New Roman" w:hAnsi="Times New Roman" w:cs="Times New Roman"/>
          <w:noProof/>
        </w:rPr>
        <w:t xml:space="preserve"> 2021)</w:t>
      </w:r>
      <w:r w:rsidRPr="00E30DF6">
        <w:rPr>
          <w:rFonts w:ascii="Times New Roman" w:hAnsi="Times New Roman" w:cs="Times New Roman"/>
        </w:rPr>
        <w:fldChar w:fldCharType="end"/>
      </w:r>
      <w:r w:rsidRPr="00E30DF6">
        <w:rPr>
          <w:rFonts w:ascii="Times New Roman" w:hAnsi="Times New Roman" w:cs="Times New Roman"/>
        </w:rPr>
        <w:t xml:space="preserve">. A nuance of the generally negative relationship is that at certain low levels of employee turnover, the firm benefits because inefficient and underperforming employees are terminated and replaced with more productive and motivated employees </w:t>
      </w:r>
      <w:r w:rsidRPr="00E30DF6">
        <w:rPr>
          <w:rFonts w:ascii="Times New Roman" w:hAnsi="Times New Roman" w:cs="Times New Roman"/>
        </w:rPr>
        <w:fldChar w:fldCharType="begin" w:fldLock="1"/>
      </w:r>
      <w:r w:rsidRPr="00E30DF6">
        <w:rPr>
          <w:rFonts w:ascii="Times New Roman" w:hAnsi="Times New Roman" w:cs="Times New Roman"/>
        </w:rPr>
        <w:instrText>ADDIN CSL_CITATION {"citationItems":[{"id":"ITEM-1","itemData":{"DOI":"10.1080/09585192.2018.1449129","ISSN":"14664399","abstract":"This article intends to further unravel the relationship between employee turnover and organizational performance. We test a complex non-linear relationship between turnover and performance, integrating different theoretical views (i.e. theories on human and social capital, operational disruptions and organizational learning) and using polynomial regressions. Based on organizational routines theory, we also consider the role of turnover volatility, i.e. the turbulence in turnover across time. To this end, we make use of longitudinal data of Belgian firms over a period of 10 years (1999–2008). Our results confirm the complex non-linear relationship such that organizations’ labor productivity increases at low levels of turnover, reaches a peak and decreases afterwards in a negatively attenuated fashion. Moreover, turnover volatility is negatively associated with labor productivity, suggesting that organizations find it especially difficult to deal with strong and frequent changes in turnover across time. Finally, volatility also moderates the relationship between employee turnover and labor productivity. The higher turnover volatility, the less outspoken the positive results of small amounts of turnover. At high levels of turnover, firms with medium volatility suffer the most negative effects. Both research and practical implications of these findings are considered.","author":[{"dropping-particle":"","family":"Winne","given":"Sophie","non-dropping-particle":"De","parse-names":false,"suffix":""},{"dropping-particle":"","family":"Marescaux","given":"Elise","non-dropping-particle":"","parse-names":false,"suffix":""},{"dropping-particle":"","family":"Sels","given":"Luc","non-dropping-particle":"","parse-names":false,"suffix":""},{"dropping-particle":"","family":"Beveren","given":"Ilke","non-dropping-particle":"Van","parse-names":false,"suffix":""},{"dropping-particle":"","family":"Vanormelingen","given":"Stijn","non-dropping-particle":"","parse-names":false,"suffix":""}],"container-title":"International Journal of Human Resource Management","id":"ITEM-1","issue":"21","issued":{"date-parts":[["2019"]]},"page":"3049-3079","publisher":"Routledge","title":"The Impact of Employee Turnover and Turnover Volatility on Labor Productivity: A Flexible Non-Linear Approach","type":"article-journal","volume":"30"},"uris":["http://www.mendeley.com/documents/?uuid=f2b959f3-dbf8-446c-a9cb-629b3bec0cfe"]},{"id":"ITEM-2","itemData":{"ISBN":"9781119130536","abstract":"Employee turnover is a significant cost for businesses and a key human capital metric, but firms do not disclose this measure. We examine whether turnover is informative about future firm performance using a large panel of turnover data extracted from employees’ online profiles. We find that turnover is negatively associated with future financial performance (one-quarter ahead ROA and sales growth). The negative association between turnover and future performance is stronger for small firms, for young firms, for firms with low labor intensity, when the local labor market is tight, and when the firm is trying to replace departing employees. The negative association disappears when turnover is very low, suggesting that a certain amount of turnover can be beneficial. Consistent with the concern that turnover increases operational uncertainty, we find a positive association between turnover and the uncertainty of future financial performance. Finally, we find a significant association between turnover and future stock returns, suggesting that investors do not fully incorporate turnover information. Our findings answer the call from the SEC to determine the importance of turnover disclosure.","author":[{"dropping-particle":"","family":"Li","given":"Qin","non-dropping-particle":"","parse-names":false,"suffix":""},{"dropping-particle":"","family":"Lourie","given":"Ben","non-dropping-particle":"","parse-names":false,"suffix":""},{"dropping-particle":"","family":"Nekrasov","given":"Alexander","non-dropping-particle":"","parse-names":false,"suffix":""},{"dropping-particle":"","family":"Shevlin","given":"Terry","non-dropping-particle":"","parse-names":false,"suffix":""}],"container-title":"Management Science","id":"ITEM-2","issue":"January 2022","issued":{"date-parts":[["2021"]]},"page":"Forthcoming","title":"Employee Turnover and Firm Performance: Large-Sample Archival Evidence","type":"article-journal"},"uris":["http://www.mendeley.com/documents/?uuid=24713980-7f0d-453e-97b9-f8ab5a18b7c3"]}],"mendeley":{"formattedCitation":"(De Winne et al. 2019; Li et al. 2021)","plainTextFormattedCitation":"(De Winne et al. 2019; Li et al. 2021)","previouslyFormattedCitation":"(De Winne et al. 2019; Li et al. 2021)"},"properties":{"noteIndex":0},"schema":"https://github.com/citation-style-language/schema/raw/master/csl-citation.json"}</w:instrText>
      </w:r>
      <w:r w:rsidRPr="00E30DF6">
        <w:rPr>
          <w:rFonts w:ascii="Times New Roman" w:hAnsi="Times New Roman" w:cs="Times New Roman"/>
        </w:rPr>
        <w:fldChar w:fldCharType="separate"/>
      </w:r>
      <w:r w:rsidRPr="00E30DF6">
        <w:rPr>
          <w:rFonts w:ascii="Times New Roman" w:hAnsi="Times New Roman" w:cs="Times New Roman"/>
          <w:noProof/>
        </w:rPr>
        <w:t xml:space="preserve">(De Winne </w:t>
      </w:r>
      <w:r w:rsidR="00ED2DA4" w:rsidRPr="00ED2DA4">
        <w:rPr>
          <w:rFonts w:ascii="Times New Roman" w:hAnsi="Times New Roman" w:cs="Times New Roman"/>
          <w:i/>
          <w:noProof/>
        </w:rPr>
        <w:t>et al</w:t>
      </w:r>
      <w:r w:rsidRPr="00E30DF6">
        <w:rPr>
          <w:rFonts w:ascii="Times New Roman" w:hAnsi="Times New Roman" w:cs="Times New Roman"/>
          <w:noProof/>
        </w:rPr>
        <w:t>.</w:t>
      </w:r>
      <w:r w:rsidR="009363C3">
        <w:rPr>
          <w:rFonts w:ascii="Times New Roman" w:hAnsi="Times New Roman" w:cs="Times New Roman"/>
          <w:noProof/>
        </w:rPr>
        <w:t>,</w:t>
      </w:r>
      <w:r w:rsidRPr="00E30DF6">
        <w:rPr>
          <w:rFonts w:ascii="Times New Roman" w:hAnsi="Times New Roman" w:cs="Times New Roman"/>
          <w:noProof/>
        </w:rPr>
        <w:t xml:space="preserve"> 2019; Li </w:t>
      </w:r>
      <w:r w:rsidR="00ED2DA4" w:rsidRPr="00ED2DA4">
        <w:rPr>
          <w:rFonts w:ascii="Times New Roman" w:hAnsi="Times New Roman" w:cs="Times New Roman"/>
          <w:i/>
          <w:noProof/>
        </w:rPr>
        <w:t>et al</w:t>
      </w:r>
      <w:r w:rsidRPr="00E30DF6">
        <w:rPr>
          <w:rFonts w:ascii="Times New Roman" w:hAnsi="Times New Roman" w:cs="Times New Roman"/>
          <w:noProof/>
        </w:rPr>
        <w:t>.</w:t>
      </w:r>
      <w:r w:rsidR="009363C3">
        <w:rPr>
          <w:rFonts w:ascii="Times New Roman" w:hAnsi="Times New Roman" w:cs="Times New Roman"/>
          <w:noProof/>
        </w:rPr>
        <w:t>,</w:t>
      </w:r>
      <w:r w:rsidRPr="00E30DF6">
        <w:rPr>
          <w:rFonts w:ascii="Times New Roman" w:hAnsi="Times New Roman" w:cs="Times New Roman"/>
          <w:noProof/>
        </w:rPr>
        <w:t xml:space="preserve"> 2021)</w:t>
      </w:r>
      <w:r w:rsidRPr="00E30DF6">
        <w:rPr>
          <w:rFonts w:ascii="Times New Roman" w:hAnsi="Times New Roman" w:cs="Times New Roman"/>
        </w:rPr>
        <w:fldChar w:fldCharType="end"/>
      </w:r>
      <w:r w:rsidRPr="00E30DF6">
        <w:rPr>
          <w:rFonts w:ascii="Times New Roman" w:hAnsi="Times New Roman" w:cs="Times New Roman"/>
        </w:rPr>
        <w:t>.</w:t>
      </w:r>
    </w:p>
  </w:footnote>
  <w:footnote w:id="15">
    <w:p w14:paraId="2E64A1BD" w14:textId="77777777" w:rsidR="00385A6D" w:rsidRPr="002315A7" w:rsidRDefault="00385A6D" w:rsidP="00385A6D">
      <w:pPr>
        <w:pStyle w:val="Footer"/>
      </w:pPr>
      <w:r w:rsidRPr="002315A7">
        <w:rPr>
          <w:rStyle w:val="FootnoteReference"/>
          <w:rFonts w:cs="Times New Roman"/>
        </w:rPr>
        <w:footnoteRef/>
      </w:r>
      <w:r w:rsidRPr="002315A7">
        <w:t xml:space="preserve"> Additionally, </w:t>
      </w:r>
      <w:r w:rsidRPr="002315A7">
        <w:fldChar w:fldCharType="begin" w:fldLock="1"/>
      </w:r>
      <w:r>
        <w:instrText>ADDIN CSL_CITATION {"citationItems":[{"id":"ITEM-1","itemData":{"DOI":"10.1016/j.aos.2017.03.001","ISSN":"03613682","abstract":"Drawing on social norms and social learning theories, this study investigates the influences of peer (similar) firms' prior choices on whether or not a client chooses to affiliate with a “social norm” audit office in its metropolitan area, following auditor turnover. The office in a metro area auditing the largest number of peer firms along a given similarity dimension is considered to be the social norm office for that dimension. We identify peer firms using four alternative dimensions of similarity: client geographic location, industry affiliation, client size (filing status), and departing auditor type (Big N versus non-Big N). Using a large sample of auditor changes from the years 2001–2012, we find that for every dimension of similarity, the propensity of a client to select a norm (as opposed to a non-norm) audit office as the succeeding auditor is positively associated with 1) the proportion of its peers audited by the “norm” office in the prior year (i.e., social norm evidence) and 2) the proportion of its auditor-switching peers selecting a “norm” audit office in the prior year (i.e. social learning evidence). Social norm and social learning evidence provided by “more similar” peers has greater effect than evidence provided by “less similar” peers across all four dimensions of peer similarity. Further analysis suggests that social norm and learning evidence has incremental power (beyond each other) in explaining auditor selection, with norm evidence exhibiting a larger effect than learning evidence. An analysis of the implementation of SOX 404(b) mandatory internal control audits in 2004 shows that clients' tendency to choose pre-existing social norm audit offices can be disrupted by exogenous events.","author":[{"dropping-particle":"","family":"Li","given":"Xudong (Daniel)","non-dropping-particle":"","parse-names":false,"suffix":""},{"dropping-particle":"","family":"Sun","given":"Lili","non-dropping-particle":"","parse-names":false,"suffix":""},{"dropping-particle":"","family":"Ettredge","given":"Michael","non-dropping-particle":"","parse-names":false,"suffix":""}],"container-title":"Accounting, Organizations and Society","id":"ITEM-1","issued":{"date-parts":[["2017"]]},"page":"73-87","publisher":"Elsevier Ltd","title":"Auditor Selection Following Auditor Turnover: Do Peers' Choices Matter?","type":"article-journal","volume":"57"},"uris":["http://www.mendeley.com/documents/?uuid=36b9e17d-8297-4874-986f-b8e7c32a098d"]}],"mendeley":{"formattedCitation":"(Li et al. 2017)","manualFormatting":"Li, Sun, and Ettredge (2017)","plainTextFormattedCitation":"(Li et al. 2017)","previouslyFormattedCitation":"(Li et al. 2017)"},"properties":{"noteIndex":0},"schema":"https://github.com/citation-style-language/schema/raw/master/csl-citation.json"}</w:instrText>
      </w:r>
      <w:r w:rsidRPr="002315A7">
        <w:fldChar w:fldCharType="separate"/>
      </w:r>
      <w:r w:rsidRPr="002315A7">
        <w:rPr>
          <w:noProof/>
        </w:rPr>
        <w:t>Li, Sun, and Ettredge (2017)</w:t>
      </w:r>
      <w:r w:rsidRPr="002315A7">
        <w:fldChar w:fldCharType="end"/>
      </w:r>
      <w:r w:rsidRPr="002315A7">
        <w:t xml:space="preserve"> find that similarities in social norms influence auditor selection among peer firms. </w:t>
      </w:r>
    </w:p>
  </w:footnote>
  <w:footnote w:id="16">
    <w:p w14:paraId="7BEABD95" w14:textId="499989DF" w:rsidR="000B646B" w:rsidRPr="003A0C39" w:rsidRDefault="000B646B" w:rsidP="000B646B">
      <w:pPr>
        <w:pStyle w:val="FootnoteText"/>
        <w:rPr>
          <w:rFonts w:ascii="Times New Roman" w:hAnsi="Times New Roman" w:cs="Times New Roman"/>
        </w:rPr>
      </w:pPr>
      <w:r w:rsidRPr="00371E94">
        <w:rPr>
          <w:rStyle w:val="FootnoteReference"/>
          <w:rFonts w:ascii="Times New Roman" w:hAnsi="Times New Roman" w:cs="Times New Roman"/>
        </w:rPr>
        <w:footnoteRef/>
      </w:r>
      <w:r w:rsidRPr="003A0C39">
        <w:rPr>
          <w:rFonts w:ascii="Times New Roman" w:hAnsi="Times New Roman" w:cs="Times New Roman"/>
        </w:rPr>
        <w:t xml:space="preserve"> </w:t>
      </w:r>
      <w:r w:rsidRPr="003A0C39">
        <w:rPr>
          <w:rFonts w:ascii="Times New Roman" w:hAnsi="Times New Roman" w:cs="Times New Roman"/>
        </w:rPr>
        <w:fldChar w:fldCharType="begin" w:fldLock="1"/>
      </w:r>
      <w:r w:rsidRPr="003A0C39">
        <w:rPr>
          <w:rFonts w:ascii="Times New Roman" w:hAnsi="Times New Roman" w:cs="Times New Roman"/>
        </w:rPr>
        <w:instrText>ADDIN CSL_CITATION {"citationItems":[{"id":"ITEM-1","itemData":{"DOI":"10.1016/j.socec.2005.11.001","ISSN":"10535357","abstract":"A growing belief exists that social capital contributes to economic growth of communities. In this paper, we identify inputs into the production of social capital at the level of US counties, using an array of individual and community factors that are theoretically important determinants of social capital. We use data from the Bureau of the Census, County Business Patterns, USA Counties on CD, National Center for Charitable Statistics, and the Regional Economic Information System for two time periods. Ethnic homogeneity, income inequality, attachment to place, education, age, and female labor force participation are strongly associated with levels of social capital across US counties. © 2005 Elsevier Inc. All rights reserved.","author":[{"dropping-particle":"","family":"Rupasingha","given":"Anil","non-dropping-particle":"","parse-names":false,"suffix":""},{"dropping-particle":"","family":"Goetz","given":"Stephan J.","non-dropping-particle":"","parse-names":false,"suffix":""},{"dropping-particle":"","family":"Freshwater","given":"David","non-dropping-particle":"","parse-names":false,"suffix":""}],"container-title":"Journal of Socio-Economics","id":"ITEM-1","issue":"1","issued":{"date-parts":[["2006"]]},"page":"83-101","title":"The production of social capital in US counties","type":"article-journal","volume":"35"},"uris":["http://www.mendeley.com/documents/?uuid=44091493-6467-4571-a7a1-d98ed838110a"]}],"mendeley":{"formattedCitation":"(Rupasingha et al. 2006)","manualFormatting":"Rupasingha et al. (2006)","plainTextFormattedCitation":"(Rupasingha et al. 2006)","previouslyFormattedCitation":"(Rupasingha et al. 2006)"},"properties":{"noteIndex":0},"schema":"https://github.com/citation-style-language/schema/raw/master/csl-citation.json"}</w:instrText>
      </w:r>
      <w:r w:rsidRPr="003A0C39">
        <w:rPr>
          <w:rFonts w:ascii="Times New Roman" w:hAnsi="Times New Roman" w:cs="Times New Roman"/>
        </w:rPr>
        <w:fldChar w:fldCharType="separate"/>
      </w:r>
      <w:r w:rsidRPr="003A0C39">
        <w:rPr>
          <w:rFonts w:ascii="Times New Roman" w:hAnsi="Times New Roman" w:cs="Times New Roman"/>
          <w:noProof/>
        </w:rPr>
        <w:t xml:space="preserve">Rupasingha </w:t>
      </w:r>
      <w:r w:rsidR="00ED2DA4" w:rsidRPr="00ED2DA4">
        <w:rPr>
          <w:rFonts w:ascii="Times New Roman" w:hAnsi="Times New Roman" w:cs="Times New Roman"/>
          <w:i/>
          <w:noProof/>
        </w:rPr>
        <w:t>et al</w:t>
      </w:r>
      <w:r w:rsidRPr="003A0C39">
        <w:rPr>
          <w:rFonts w:ascii="Times New Roman" w:hAnsi="Times New Roman" w:cs="Times New Roman"/>
          <w:noProof/>
        </w:rPr>
        <w:t>. (2006)</w:t>
      </w:r>
      <w:r w:rsidRPr="003A0C39">
        <w:rPr>
          <w:rFonts w:ascii="Times New Roman" w:hAnsi="Times New Roman" w:cs="Times New Roman"/>
        </w:rPr>
        <w:fldChar w:fldCharType="end"/>
      </w:r>
      <w:r w:rsidRPr="003A0C39">
        <w:rPr>
          <w:rFonts w:ascii="Times New Roman" w:hAnsi="Times New Roman" w:cs="Times New Roman"/>
        </w:rPr>
        <w:t xml:space="preserve"> provides a detailed description of the construction of this social capital measure.</w:t>
      </w:r>
    </w:p>
  </w:footnote>
  <w:footnote w:id="17">
    <w:p w14:paraId="7777E474" w14:textId="3227DFF5" w:rsidR="000B646B" w:rsidRPr="00E105E2" w:rsidRDefault="000B646B" w:rsidP="000B646B">
      <w:pPr>
        <w:pStyle w:val="FootnoteText"/>
        <w:rPr>
          <w:rFonts w:ascii="Times New Roman" w:hAnsi="Times New Roman" w:cs="Times New Roman"/>
        </w:rPr>
      </w:pPr>
      <w:r w:rsidRPr="00371E94">
        <w:rPr>
          <w:rStyle w:val="FootnoteReference"/>
          <w:rFonts w:ascii="Times New Roman" w:hAnsi="Times New Roman" w:cs="Times New Roman"/>
        </w:rPr>
        <w:footnoteRef/>
      </w:r>
      <w:r w:rsidRPr="003A0C39">
        <w:rPr>
          <w:rFonts w:ascii="Times New Roman" w:hAnsi="Times New Roman" w:cs="Times New Roman"/>
        </w:rPr>
        <w:t xml:space="preserve"> </w:t>
      </w:r>
      <w:r>
        <w:rPr>
          <w:rFonts w:ascii="Times New Roman" w:hAnsi="Times New Roman" w:cs="Times New Roman"/>
        </w:rPr>
        <w:t>The updates were made in</w:t>
      </w:r>
      <w:r w:rsidRPr="003A0C39">
        <w:rPr>
          <w:rFonts w:ascii="Times New Roman" w:hAnsi="Times New Roman" w:cs="Times New Roman"/>
        </w:rPr>
        <w:t xml:space="preserve"> 1997, 2005, 2009, and 2014. </w:t>
      </w:r>
      <w:r w:rsidRPr="003A0C39">
        <w:rPr>
          <w:rFonts w:ascii="Times New Roman" w:hAnsi="Times New Roman" w:cs="Times New Roman"/>
        </w:rPr>
        <w:fldChar w:fldCharType="begin" w:fldLock="1"/>
      </w:r>
      <w:r>
        <w:rPr>
          <w:rFonts w:ascii="Times New Roman" w:hAnsi="Times New Roman" w:cs="Times New Roman"/>
        </w:rPr>
        <w:instrText>ADDIN CSL_CITATION {"citationItems":[{"id":"ITEM-1","itemData":{"DOI":"10.1111/1475-679X.12159","ISSN":"1475679X","abstract":"We investigate whether the levels of social capital in U.S. counties, as captured by strength of civic norms and density of social networks in the counties, are systematically related to tax avoidance activities of corporations with headquarters located in the counties. We find strong negative associations between social capital and corporate tax avoidance, as captured by effective tax rates and book-tax differences. These results are incremental to the effects of local religiosity and firm culture toward socially irresponsible activities. They are robust to using organ donation as an alternative social capital proxy and fixed effect regressions. They extend to aggressive tax avoidance practices. Additionally, we provide corroborating evidence using firms with headquarters relocation that changes the exposure to social capital. We conclude that social capital surrounding corporate headquarters provides environmental influences constraining corporate tax avoidance.","author":[{"dropping-particle":"","family":"Hasan","given":"Iftekhar","non-dropping-particle":"","parse-names":false,"suffix":""},{"dropping-particle":"","family":"Hoi","given":"Chun Keung Stan","non-dropping-particle":"","parse-names":false,"suffix":""},{"dropping-particle":"","family":"Wu","given":"Qiang","non-dropping-particle":"","parse-names":false,"suffix":""},{"dropping-particle":"","family":"Zhang","given":"Hao","non-dropping-particle":"","parse-names":false,"suffix":""}],"container-title":"Journal of Accounting Research","id":"ITEM-1","issue":"3","issued":{"date-parts":[["2017"]]},"page":"629-668","title":"Does Social Capital Matter in Corporate Decisions? Evidence from Corporate Tax Avoidance","type":"article-journal","volume":"55"},"uris":["http://www.mendeley.com/documents/?uuid=8616d97d-ed6a-4190-a2c5-a2368d89851e"]},{"id":"ITEM-2","itemData":{"DOI":"10.1017/S0022109017000205","ISBN":"0022109017000","ISSN":"17566916","abstract":"We find that firms headquartered in U.S. counties with higher levels of social capital incur lower bank loan spreads. This finding is robust to using organ donation as an alternative social capital measure and incremental to the effects of religiosity, corporate social responsibility, and tax avoidance. We identify the causal relation using companies with a social-capital-changing headquarters relocation. We also find that high-social-capital firms face loosened nonprice loan terms, incur lower at-issue bond spreads, and prefer public bonds over bank loans. We conclude that debt holders perceive social capital as providing environmental pressure that constrains opportunistic firm behaviors in debt contracting.","author":[{"dropping-particle":"","family":"Hasan","given":"Iftekhar","non-dropping-particle":"","parse-names":false,"suffix":""},{"dropping-particle":"","family":"Hoi","given":"Chun Keung","non-dropping-particle":"","parse-names":false,"suffix":""},{"dropping-particle":"","family":"Wu","given":"Qiang","non-dropping-particle":"","parse-names":false,"suffix":""},{"dropping-particle":"","family":"Zhang","given":"Hao","non-dropping-particle":"","parse-names":false,"suffix":""}],"container-title":"Journal of Financial and Quantitative Analysis","id":"ITEM-2","issue":"3","issued":{"date-parts":[["2017"]]},"page":"1017-1047","title":"Social Capital and Debt Contracting: Evidence from Bank Loans and Public Bonds","type":"article-journal","volume":"52"},"uris":["http://www.mendeley.com/documents/?uuid=38a988f0-63b9-4fcb-88d7-2a66f96895f5"]}],"mendeley":{"formattedCitation":"(Hasan, Chun Keung Stan Hoi, et al. 2017; Hasan, Chun Keung Hoi, et al. 2017)","manualFormatting":"Hasan et al. (2017a, 2017b)","plainTextFormattedCitation":"(Hasan, Chun Keung Stan Hoi, et al. 2017; Hasan, Chun Keung Hoi, et al. 2017)","previouslyFormattedCitation":"(Hasan, Chun Keung Stan Hoi, et al. 2017; Hasan, Chun Keung Hoi, et al. 2017)"},"properties":{"noteIndex":0},"schema":"https://github.com/citation-style-language/schema/raw/master/csl-citation.json"}</w:instrText>
      </w:r>
      <w:r w:rsidRPr="003A0C39">
        <w:rPr>
          <w:rFonts w:ascii="Times New Roman" w:hAnsi="Times New Roman" w:cs="Times New Roman"/>
        </w:rPr>
        <w:fldChar w:fldCharType="separate"/>
      </w:r>
      <w:r w:rsidRPr="003A0C39">
        <w:rPr>
          <w:rFonts w:ascii="Times New Roman" w:hAnsi="Times New Roman" w:cs="Times New Roman"/>
          <w:noProof/>
        </w:rPr>
        <w:t xml:space="preserve">Hasan </w:t>
      </w:r>
      <w:r w:rsidR="00ED2DA4" w:rsidRPr="00ED2DA4">
        <w:rPr>
          <w:rFonts w:ascii="Times New Roman" w:hAnsi="Times New Roman" w:cs="Times New Roman"/>
          <w:i/>
          <w:noProof/>
        </w:rPr>
        <w:t>et al</w:t>
      </w:r>
      <w:r w:rsidRPr="003A0C39">
        <w:rPr>
          <w:rFonts w:ascii="Times New Roman" w:hAnsi="Times New Roman" w:cs="Times New Roman"/>
          <w:noProof/>
        </w:rPr>
        <w:t>. (2017a, 2017b)</w:t>
      </w:r>
      <w:r w:rsidRPr="003A0C39">
        <w:rPr>
          <w:rFonts w:ascii="Times New Roman" w:hAnsi="Times New Roman" w:cs="Times New Roman"/>
        </w:rPr>
        <w:fldChar w:fldCharType="end"/>
      </w:r>
      <w:r w:rsidRPr="003A0C39">
        <w:rPr>
          <w:rFonts w:ascii="Times New Roman" w:hAnsi="Times New Roman" w:cs="Times New Roman"/>
        </w:rPr>
        <w:t xml:space="preserve"> find that there is a high correlation between social capital measures of any two periods.</w:t>
      </w:r>
    </w:p>
  </w:footnote>
  <w:footnote w:id="18">
    <w:p w14:paraId="707E2CB2" w14:textId="2B192DE8" w:rsidR="00D147A1" w:rsidRPr="001E40CF" w:rsidRDefault="00D147A1">
      <w:pPr>
        <w:pStyle w:val="FootnoteText"/>
        <w:rPr>
          <w:rFonts w:ascii="Times New Roman" w:hAnsi="Times New Roman" w:cs="Times New Roman"/>
        </w:rPr>
      </w:pPr>
      <w:r w:rsidRPr="001E40CF">
        <w:rPr>
          <w:rStyle w:val="FootnoteReference"/>
          <w:rFonts w:ascii="Times New Roman" w:hAnsi="Times New Roman" w:cs="Times New Roman"/>
        </w:rPr>
        <w:footnoteRef/>
      </w:r>
      <w:r w:rsidRPr="001E40CF">
        <w:rPr>
          <w:rFonts w:ascii="Times New Roman" w:hAnsi="Times New Roman" w:cs="Times New Roman"/>
        </w:rPr>
        <w:t xml:space="preserve"> These are coded 11, 13, 21, 35, 42 and 44 </w:t>
      </w:r>
      <w:r w:rsidRPr="006F6F08">
        <w:rPr>
          <w:rFonts w:ascii="Times New Roman" w:hAnsi="Times New Roman" w:cs="Times New Roman"/>
        </w:rPr>
        <w:t xml:space="preserve">in </w:t>
      </w:r>
      <w:r w:rsidRPr="00684074">
        <w:rPr>
          <w:rFonts w:ascii="Times New Roman" w:hAnsi="Times New Roman" w:cs="Times New Roman"/>
        </w:rPr>
        <w:t>the Audit Analytics Internal Control</w:t>
      </w:r>
      <w:r w:rsidRPr="001E40CF">
        <w:rPr>
          <w:rFonts w:ascii="Times New Roman" w:hAnsi="Times New Roman" w:cs="Times New Roman"/>
        </w:rPr>
        <w:t xml:space="preserve"> database.</w:t>
      </w:r>
      <w:r w:rsidR="003A0678" w:rsidRPr="001E40CF">
        <w:rPr>
          <w:rFonts w:ascii="Times New Roman" w:hAnsi="Times New Roman" w:cs="Times New Roman"/>
        </w:rPr>
        <w:t xml:space="preserve"> The definition</w:t>
      </w:r>
      <w:r w:rsidR="006C6AEB">
        <w:rPr>
          <w:rFonts w:ascii="Times New Roman" w:hAnsi="Times New Roman" w:cs="Times New Roman"/>
        </w:rPr>
        <w:t>s</w:t>
      </w:r>
      <w:r w:rsidR="003A0678" w:rsidRPr="001E40CF">
        <w:rPr>
          <w:rFonts w:ascii="Times New Roman" w:hAnsi="Times New Roman" w:cs="Times New Roman"/>
        </w:rPr>
        <w:t xml:space="preserve"> of the codes are: 11 – Ineffective, non-existent, or understaffed audit committee; 13 – senior management, competency, tone, reliability issues; 21 – ethical or compliance issues with personnel; 35 </w:t>
      </w:r>
      <w:r w:rsidR="00DB7CD7" w:rsidRPr="001E40CF">
        <w:rPr>
          <w:rFonts w:ascii="Times New Roman" w:hAnsi="Times New Roman" w:cs="Times New Roman"/>
        </w:rPr>
        <w:t>–</w:t>
      </w:r>
      <w:r w:rsidR="003A0678" w:rsidRPr="001E40CF">
        <w:rPr>
          <w:rFonts w:ascii="Times New Roman" w:hAnsi="Times New Roman" w:cs="Times New Roman"/>
        </w:rPr>
        <w:t xml:space="preserve"> </w:t>
      </w:r>
      <w:r w:rsidR="00DB7CD7" w:rsidRPr="001E40CF">
        <w:rPr>
          <w:rFonts w:ascii="Times New Roman" w:hAnsi="Times New Roman" w:cs="Times New Roman"/>
        </w:rPr>
        <w:t>acquisition, merger, disposal or reorganization issues; 42 – segregations of duties/design of controls; and 44 – accounting personnel resources, competency/training.</w:t>
      </w:r>
    </w:p>
  </w:footnote>
  <w:footnote w:id="19">
    <w:p w14:paraId="2644DABD" w14:textId="01304838" w:rsidR="00452505" w:rsidRPr="009E2E8B" w:rsidRDefault="00452505" w:rsidP="00452505">
      <w:pPr>
        <w:pStyle w:val="FootnoteText"/>
        <w:rPr>
          <w:rFonts w:ascii="Times New Roman" w:hAnsi="Times New Roman" w:cs="Times New Roman"/>
        </w:rPr>
      </w:pPr>
      <w:r w:rsidRPr="0032512C">
        <w:rPr>
          <w:rStyle w:val="FootnoteReference"/>
        </w:rPr>
        <w:footnoteRef/>
      </w:r>
      <w:r w:rsidRPr="009E2E8B">
        <w:rPr>
          <w:rFonts w:ascii="Times New Roman" w:hAnsi="Times New Roman" w:cs="Times New Roman"/>
        </w:rPr>
        <w:t xml:space="preserve"> We identify non-regulated industries using the Fama-French 12 classifications.</w:t>
      </w:r>
      <w:r w:rsidR="00E6257D">
        <w:rPr>
          <w:rFonts w:ascii="Times New Roman" w:hAnsi="Times New Roman" w:cs="Times New Roman"/>
        </w:rPr>
        <w:t xml:space="preserve"> We excluded </w:t>
      </w:r>
      <w:proofErr w:type="spellStart"/>
      <w:r w:rsidR="00E6257D">
        <w:rPr>
          <w:rFonts w:ascii="Times New Roman" w:hAnsi="Times New Roman" w:cs="Times New Roman"/>
        </w:rPr>
        <w:t>SICs</w:t>
      </w:r>
      <w:proofErr w:type="spellEnd"/>
      <w:r w:rsidR="00DD4B06">
        <w:rPr>
          <w:rFonts w:ascii="Times New Roman" w:hAnsi="Times New Roman" w:cs="Times New Roman"/>
        </w:rPr>
        <w:t xml:space="preserve"> 4901-4999 and 6001-6999, inclusive</w:t>
      </w:r>
      <w:r w:rsidR="00D65439">
        <w:rPr>
          <w:rFonts w:ascii="Times New Roman" w:hAnsi="Times New Roman" w:cs="Times New Roman"/>
        </w:rPr>
        <w:t>, as these represent utilities and financial industries.</w:t>
      </w:r>
      <w:r w:rsidRPr="009E2E8B">
        <w:rPr>
          <w:rFonts w:ascii="Times New Roman" w:hAnsi="Times New Roman" w:cs="Times New Roman"/>
        </w:rPr>
        <w:t xml:space="preserve"> </w:t>
      </w:r>
    </w:p>
  </w:footnote>
  <w:footnote w:id="20">
    <w:p w14:paraId="3A885A9B" w14:textId="3DD63829" w:rsidR="00452505" w:rsidRPr="009E2E8B" w:rsidRDefault="00452505" w:rsidP="00452505">
      <w:pPr>
        <w:pStyle w:val="FootnoteText"/>
        <w:rPr>
          <w:rFonts w:ascii="Times New Roman" w:hAnsi="Times New Roman" w:cs="Times New Roman"/>
        </w:rPr>
      </w:pPr>
      <w:r w:rsidRPr="0032512C">
        <w:rPr>
          <w:rStyle w:val="FootnoteReference"/>
        </w:rPr>
        <w:footnoteRef/>
      </w:r>
      <w:r w:rsidRPr="009E2E8B">
        <w:rPr>
          <w:rFonts w:ascii="Times New Roman" w:hAnsi="Times New Roman" w:cs="Times New Roman"/>
        </w:rPr>
        <w:t xml:space="preserve"> The Loughran and McDonald Augmented 10-X Header data is publicly available for download at: </w:t>
      </w:r>
      <w:hyperlink r:id="rId2" w:history="1">
        <w:r w:rsidR="0018033C" w:rsidRPr="0018033C">
          <w:rPr>
            <w:rStyle w:val="Hyperlink"/>
            <w:rFonts w:ascii="Times New Roman" w:hAnsi="Times New Roman" w:cs="Times New Roman"/>
          </w:rPr>
          <w:t>https://sraf.nd.edu/data/augmented-10-x-header-data/</w:t>
        </w:r>
      </w:hyperlink>
      <w:r w:rsidRPr="00C8238B">
        <w:rPr>
          <w:rStyle w:val="Hyperlink"/>
          <w:rFonts w:ascii="Times New Roman" w:hAnsi="Times New Roman" w:cs="Times New Roman"/>
        </w:rPr>
        <w:t>.</w:t>
      </w:r>
    </w:p>
  </w:footnote>
  <w:footnote w:id="21">
    <w:p w14:paraId="1C08ACE6" w14:textId="77777777" w:rsidR="00452505" w:rsidRPr="009E2E8B" w:rsidRDefault="00452505" w:rsidP="00452505">
      <w:pPr>
        <w:pStyle w:val="FootnoteText"/>
        <w:rPr>
          <w:rFonts w:ascii="Times New Roman" w:hAnsi="Times New Roman" w:cs="Times New Roman"/>
        </w:rPr>
      </w:pPr>
      <w:r w:rsidRPr="0032512C">
        <w:rPr>
          <w:rStyle w:val="FootnoteReference"/>
        </w:rPr>
        <w:footnoteRef/>
      </w:r>
      <w:r w:rsidRPr="009E2E8B">
        <w:rPr>
          <w:rFonts w:ascii="Times New Roman" w:hAnsi="Times New Roman" w:cs="Times New Roman"/>
        </w:rPr>
        <w:t xml:space="preserve"> 10-K/Q headings list both business and mailing addresses. We use the business address because it represents the physical location of the firm’s headquarters. While </w:t>
      </w:r>
      <w:r>
        <w:rPr>
          <w:rFonts w:ascii="Times New Roman" w:hAnsi="Times New Roman" w:cs="Times New Roman"/>
        </w:rPr>
        <w:t>most</w:t>
      </w:r>
      <w:r w:rsidRPr="009E2E8B">
        <w:rPr>
          <w:rFonts w:ascii="Times New Roman" w:hAnsi="Times New Roman" w:cs="Times New Roman"/>
        </w:rPr>
        <w:t xml:space="preserve"> mailing addresses are the same as the business addresses, some mailing addresses are P.O. Boxes. </w:t>
      </w:r>
    </w:p>
  </w:footnote>
  <w:footnote w:id="22">
    <w:p w14:paraId="2CFF195E" w14:textId="76F38FA0" w:rsidR="00061DB3" w:rsidRPr="00AE0B0C" w:rsidRDefault="00061DB3">
      <w:pPr>
        <w:pStyle w:val="FootnoteText"/>
        <w:rPr>
          <w:rFonts w:ascii="Times New Roman" w:hAnsi="Times New Roman" w:cs="Times New Roman"/>
        </w:rPr>
      </w:pPr>
      <w:r w:rsidRPr="00AE0B0C">
        <w:rPr>
          <w:rStyle w:val="FootnoteReference"/>
          <w:rFonts w:ascii="Times New Roman" w:hAnsi="Times New Roman" w:cs="Times New Roman"/>
        </w:rPr>
        <w:footnoteRef/>
      </w:r>
      <w:r w:rsidRPr="00AE0B0C">
        <w:rPr>
          <w:rFonts w:ascii="Times New Roman" w:hAnsi="Times New Roman" w:cs="Times New Roman"/>
        </w:rPr>
        <w:t xml:space="preserve"> For example, if a firm relocates in 2007 and </w:t>
      </w:r>
      <w:r w:rsidR="00EB16BB">
        <w:rPr>
          <w:rFonts w:ascii="Times New Roman" w:hAnsi="Times New Roman" w:cs="Times New Roman"/>
        </w:rPr>
        <w:t xml:space="preserve">again in </w:t>
      </w:r>
      <w:r w:rsidRPr="00AE0B0C">
        <w:rPr>
          <w:rFonts w:ascii="Times New Roman" w:hAnsi="Times New Roman" w:cs="Times New Roman"/>
        </w:rPr>
        <w:t>2008</w:t>
      </w:r>
      <w:r w:rsidR="005935F3" w:rsidRPr="00AE0B0C">
        <w:rPr>
          <w:rFonts w:ascii="Times New Roman" w:hAnsi="Times New Roman" w:cs="Times New Roman"/>
        </w:rPr>
        <w:t xml:space="preserve">, it is considered a consecutive </w:t>
      </w:r>
      <w:proofErr w:type="gramStart"/>
      <w:r w:rsidR="005935F3" w:rsidRPr="00AE0B0C">
        <w:rPr>
          <w:rFonts w:ascii="Times New Roman" w:hAnsi="Times New Roman" w:cs="Times New Roman"/>
        </w:rPr>
        <w:t>relocation, and</w:t>
      </w:r>
      <w:proofErr w:type="gramEnd"/>
      <w:r w:rsidR="005935F3" w:rsidRPr="00AE0B0C">
        <w:rPr>
          <w:rFonts w:ascii="Times New Roman" w:hAnsi="Times New Roman" w:cs="Times New Roman"/>
        </w:rPr>
        <w:t xml:space="preserve"> therefore excluded from our sample.</w:t>
      </w:r>
    </w:p>
  </w:footnote>
  <w:footnote w:id="23">
    <w:p w14:paraId="13DDBD10" w14:textId="46C1E58B" w:rsidR="00452505" w:rsidRPr="002F6B24" w:rsidRDefault="00452505" w:rsidP="00452505">
      <w:pPr>
        <w:pStyle w:val="FootnoteText"/>
        <w:rPr>
          <w:rFonts w:ascii="Times New Roman" w:hAnsi="Times New Roman" w:cs="Times New Roman"/>
        </w:rPr>
      </w:pPr>
      <w:r w:rsidRPr="0032512C">
        <w:rPr>
          <w:rStyle w:val="FootnoteReference"/>
        </w:rPr>
        <w:footnoteRef/>
      </w:r>
      <w:r w:rsidRPr="00D33BF7">
        <w:rPr>
          <w:rFonts w:ascii="Times New Roman" w:hAnsi="Times New Roman" w:cs="Times New Roman"/>
        </w:rPr>
        <w:t xml:space="preserve"> Our </w:t>
      </w:r>
      <w:r w:rsidR="00B87FC3">
        <w:rPr>
          <w:rFonts w:ascii="Times New Roman" w:hAnsi="Times New Roman" w:cs="Times New Roman"/>
        </w:rPr>
        <w:t xml:space="preserve">process of assembling the </w:t>
      </w:r>
      <w:r w:rsidRPr="00D33BF7">
        <w:rPr>
          <w:rFonts w:ascii="Times New Roman" w:hAnsi="Times New Roman" w:cs="Times New Roman"/>
        </w:rPr>
        <w:t xml:space="preserve">headquarters relocation sample is </w:t>
      </w:r>
      <w:r w:rsidR="00B87FC3">
        <w:rPr>
          <w:rFonts w:ascii="Times New Roman" w:hAnsi="Times New Roman" w:cs="Times New Roman"/>
        </w:rPr>
        <w:t>almost identical</w:t>
      </w:r>
      <w:r w:rsidR="00B87FC3" w:rsidRPr="00D33BF7">
        <w:rPr>
          <w:rFonts w:ascii="Times New Roman" w:hAnsi="Times New Roman" w:cs="Times New Roman"/>
        </w:rPr>
        <w:t xml:space="preserve"> </w:t>
      </w:r>
      <w:r w:rsidR="00B87FC3">
        <w:rPr>
          <w:rFonts w:ascii="Times New Roman" w:hAnsi="Times New Roman" w:cs="Times New Roman"/>
        </w:rPr>
        <w:t>to that in</w:t>
      </w:r>
      <w:r w:rsidRPr="00D33BF7">
        <w:rPr>
          <w:rFonts w:ascii="Times New Roman" w:hAnsi="Times New Roman" w:cs="Times New Roman"/>
        </w:rPr>
        <w:t xml:space="preserve"> </w:t>
      </w:r>
      <w:r w:rsidRPr="002F6B24">
        <w:rPr>
          <w:rFonts w:ascii="Times New Roman" w:hAnsi="Times New Roman" w:cs="Times New Roman"/>
        </w:rPr>
        <w:fldChar w:fldCharType="begin" w:fldLock="1"/>
      </w:r>
      <w:r w:rsidR="00B67C43" w:rsidRPr="002F6B24">
        <w:rPr>
          <w:rFonts w:ascii="Times New Roman" w:hAnsi="Times New Roman" w:cs="Times New Roman"/>
        </w:rPr>
        <w:instrText>ADDIN CSL_CITATION {"citationItems":[{"id":"ITEM-1","itemData":{"DOI":"10.1287/mnsc.2020.3906","ISSN":"0025-1909","abstract":"This study examines the effects of jurisdictions’ corporate taxes and other policies on firms’ headquarters (HQ) location decisions. Using changes in state corporate income tax rates across time and states as the setting, we find that a one-percentage-point increase in the HQ state corporate income tax rate increases the likelihood of firms relocating their HQ out of the state by 16.8%, and an equivalent decrease in the HQ state rate decreases the likelihood of HQ relocations by 9.1%. Exploiting the unique tax policy features within the state apportionment system lends strong support to the interpretation that taxation drives this effect. Our analyses also demonstrate that state income tax features affect the destination of the HQ move. We contribute to the literature on corporate decision making by showing how state income taxation affects a real corporate decision that has significant economic consequences for the company and the state.This paper was accepted by Brian Bushee, accounting.","author":[{"dropping-particle":"","family":"Chow","given":"Travis","non-dropping-particle":"","parse-names":false,"suffix":""},{"dropping-particle":"","family":"Huang","given":"Sterling","non-dropping-particle":"","parse-names":false,"suffix":""},{"dropping-particle":"","family":"Klassen","given":"Kenneth J.","non-dropping-particle":"","parse-names":false,"suffix":""},{"dropping-particle":"","family":"Ng","given":"Jeffrey","non-dropping-particle":"","parse-names":false,"suffix":""}],"container-title":"Management Science","id":"ITEM-1","issue":"January 2022","issued":{"date-parts":[["2021"]]},"title":"The Influence of Corporate Income Taxes on Investment Location: Evidence from Corporate Headquarters Relocations","type":"article-journal"},"uris":["http://www.mendeley.com/documents/?uuid=29562ba2-2067-46af-8656-67183a8c6e4a"]}],"mendeley":{"formattedCitation":"(Chow et al. 2021)","manualFormatting":"Chow, Huang, Klassen, and Ng (2021)","plainTextFormattedCitation":"(Chow et al. 2021)","previouslyFormattedCitation":"(Chow et al. 2021)"},"properties":{"noteIndex":0},"schema":"https://github.com/citation-style-language/schema/raw/master/csl-citation.json"}</w:instrText>
      </w:r>
      <w:r w:rsidRPr="002F6B24">
        <w:rPr>
          <w:rFonts w:ascii="Times New Roman" w:hAnsi="Times New Roman" w:cs="Times New Roman"/>
        </w:rPr>
        <w:fldChar w:fldCharType="separate"/>
      </w:r>
      <w:r w:rsidRPr="002F6B24">
        <w:rPr>
          <w:rFonts w:ascii="Times New Roman" w:hAnsi="Times New Roman" w:cs="Times New Roman"/>
          <w:noProof/>
        </w:rPr>
        <w:t>Chow, Huang, Klassen, and Ng (2021)</w:t>
      </w:r>
      <w:r w:rsidRPr="002F6B24">
        <w:rPr>
          <w:rFonts w:ascii="Times New Roman" w:hAnsi="Times New Roman" w:cs="Times New Roman"/>
        </w:rPr>
        <w:fldChar w:fldCharType="end"/>
      </w:r>
      <w:r w:rsidR="004A5FC8" w:rsidRPr="002F6B24">
        <w:rPr>
          <w:rFonts w:ascii="Times New Roman" w:hAnsi="Times New Roman" w:cs="Times New Roman"/>
        </w:rPr>
        <w:t>.</w:t>
      </w:r>
      <w:r w:rsidR="00B87FC3" w:rsidRPr="002F6B24">
        <w:rPr>
          <w:rFonts w:ascii="Times New Roman" w:hAnsi="Times New Roman" w:cs="Times New Roman"/>
        </w:rPr>
        <w:t xml:space="preserve"> </w:t>
      </w:r>
      <w:r w:rsidR="004A5FC8" w:rsidRPr="002F6B24">
        <w:rPr>
          <w:rFonts w:ascii="Times New Roman" w:hAnsi="Times New Roman" w:cs="Times New Roman"/>
        </w:rPr>
        <w:t>O</w:t>
      </w:r>
      <w:r w:rsidR="00B87FC3" w:rsidRPr="002F6B24">
        <w:rPr>
          <w:rFonts w:ascii="Times New Roman" w:hAnsi="Times New Roman" w:cs="Times New Roman"/>
        </w:rPr>
        <w:t>ur sample size is close to theirs</w:t>
      </w:r>
      <w:r w:rsidRPr="002F6B24">
        <w:rPr>
          <w:rFonts w:ascii="Times New Roman" w:hAnsi="Times New Roman" w:cs="Times New Roman"/>
        </w:rPr>
        <w:t xml:space="preserve">. </w:t>
      </w:r>
    </w:p>
  </w:footnote>
  <w:footnote w:id="24">
    <w:p w14:paraId="408C4839" w14:textId="29171960" w:rsidR="007A2873" w:rsidRPr="00A22412" w:rsidRDefault="007A2873">
      <w:pPr>
        <w:pStyle w:val="FootnoteText"/>
        <w:rPr>
          <w:rFonts w:ascii="Times New Roman" w:hAnsi="Times New Roman" w:cs="Times New Roman"/>
        </w:rPr>
      </w:pPr>
      <w:r w:rsidRPr="00A22412">
        <w:rPr>
          <w:rStyle w:val="FootnoteReference"/>
          <w:rFonts w:ascii="Times New Roman" w:hAnsi="Times New Roman" w:cs="Times New Roman"/>
        </w:rPr>
        <w:footnoteRef/>
      </w:r>
      <w:r w:rsidRPr="00A22412">
        <w:rPr>
          <w:rFonts w:ascii="Times New Roman" w:hAnsi="Times New Roman" w:cs="Times New Roman"/>
        </w:rPr>
        <w:t xml:space="preserve"> In untabulated </w:t>
      </w:r>
      <w:r w:rsidR="00180ABA" w:rsidRPr="00A22412">
        <w:rPr>
          <w:rFonts w:ascii="Times New Roman" w:hAnsi="Times New Roman" w:cs="Times New Roman"/>
        </w:rPr>
        <w:t xml:space="preserve">analyses, we employ different matching criteria </w:t>
      </w:r>
      <w:r w:rsidR="004B4948" w:rsidRPr="00A22412">
        <w:rPr>
          <w:rFonts w:ascii="Times New Roman" w:hAnsi="Times New Roman" w:cs="Times New Roman"/>
        </w:rPr>
        <w:t>such as matching on fiscal year</w:t>
      </w:r>
      <w:r w:rsidR="00767BE0" w:rsidRPr="00A22412">
        <w:rPr>
          <w:rFonts w:ascii="Times New Roman" w:hAnsi="Times New Roman" w:cs="Times New Roman"/>
        </w:rPr>
        <w:t xml:space="preserve"> instead of relocation year, allowing for replacements and duplicates. </w:t>
      </w:r>
      <w:r w:rsidR="00733033" w:rsidRPr="00A22412">
        <w:rPr>
          <w:rFonts w:ascii="Times New Roman" w:hAnsi="Times New Roman" w:cs="Times New Roman"/>
        </w:rPr>
        <w:t xml:space="preserve">Our results and inferences remain unchanged. </w:t>
      </w:r>
    </w:p>
  </w:footnote>
  <w:footnote w:id="25">
    <w:p w14:paraId="3175AD5C" w14:textId="6E7F746B" w:rsidR="00246F1F" w:rsidRPr="00C539C9" w:rsidRDefault="00246F1F">
      <w:pPr>
        <w:pStyle w:val="FootnoteText"/>
        <w:rPr>
          <w:rFonts w:ascii="Times New Roman" w:hAnsi="Times New Roman" w:cs="Times New Roman"/>
        </w:rPr>
      </w:pPr>
      <w:r w:rsidRPr="00C539C9">
        <w:rPr>
          <w:rStyle w:val="FootnoteReference"/>
          <w:rFonts w:ascii="Times New Roman" w:hAnsi="Times New Roman" w:cs="Times New Roman"/>
        </w:rPr>
        <w:footnoteRef/>
      </w:r>
      <w:r w:rsidRPr="00C539C9">
        <w:rPr>
          <w:rFonts w:ascii="Times New Roman" w:hAnsi="Times New Roman" w:cs="Times New Roman"/>
        </w:rPr>
        <w:t xml:space="preserve"> </w:t>
      </w:r>
      <w:r>
        <w:rPr>
          <w:rFonts w:ascii="Times New Roman" w:hAnsi="Times New Roman" w:cs="Times New Roman"/>
        </w:rPr>
        <w:t>Employee h</w:t>
      </w:r>
      <w:r w:rsidRPr="00C539C9">
        <w:rPr>
          <w:rFonts w:ascii="Times New Roman" w:hAnsi="Times New Roman" w:cs="Times New Roman"/>
        </w:rPr>
        <w:t xml:space="preserve">eadcount data is available in </w:t>
      </w:r>
      <w:proofErr w:type="spellStart"/>
      <w:r w:rsidRPr="00C539C9">
        <w:rPr>
          <w:rFonts w:ascii="Times New Roman" w:hAnsi="Times New Roman" w:cs="Times New Roman"/>
        </w:rPr>
        <w:t>Compustat</w:t>
      </w:r>
      <w:proofErr w:type="spellEnd"/>
      <w:r w:rsidRPr="00C539C9">
        <w:rPr>
          <w:rFonts w:ascii="Times New Roman" w:hAnsi="Times New Roman" w:cs="Times New Roman"/>
        </w:rPr>
        <w:t>, but it is net of inflows and outflows for the entire company, not just the corporate headquarters.</w:t>
      </w:r>
    </w:p>
  </w:footnote>
  <w:footnote w:id="26">
    <w:p w14:paraId="60541CBB" w14:textId="4216E223" w:rsidR="002F6B24" w:rsidRPr="002F6B24" w:rsidRDefault="002F6B24">
      <w:pPr>
        <w:pStyle w:val="FootnoteText"/>
      </w:pPr>
      <w:r w:rsidRPr="002315A7">
        <w:rPr>
          <w:rStyle w:val="FootnoteReference"/>
          <w:rFonts w:ascii="Times New Roman" w:hAnsi="Times New Roman" w:cs="Times New Roman"/>
        </w:rPr>
        <w:footnoteRef/>
      </w:r>
      <w:r w:rsidRPr="002315A7">
        <w:rPr>
          <w:rFonts w:ascii="Times New Roman" w:hAnsi="Times New Roman" w:cs="Times New Roman"/>
        </w:rPr>
        <w:t xml:space="preserve"> Since we do not have sufficient observations in each category of </w:t>
      </w:r>
      <w:proofErr w:type="spellStart"/>
      <w:r w:rsidRPr="002315A7">
        <w:rPr>
          <w:rFonts w:ascii="Times New Roman" w:hAnsi="Times New Roman" w:cs="Times New Roman"/>
          <w:i/>
          <w:iCs/>
        </w:rPr>
        <w:t>ICINEFF</w:t>
      </w:r>
      <w:proofErr w:type="spellEnd"/>
      <w:r w:rsidRPr="002315A7">
        <w:rPr>
          <w:rFonts w:ascii="Times New Roman" w:hAnsi="Times New Roman" w:cs="Times New Roman"/>
        </w:rPr>
        <w:t>, we cannot test entity</w:t>
      </w:r>
      <w:r w:rsidR="002377D5">
        <w:rPr>
          <w:rFonts w:ascii="Times New Roman" w:hAnsi="Times New Roman" w:cs="Times New Roman"/>
        </w:rPr>
        <w:t>-level</w:t>
      </w:r>
      <w:r w:rsidRPr="002315A7">
        <w:rPr>
          <w:rFonts w:ascii="Times New Roman" w:hAnsi="Times New Roman" w:cs="Times New Roman"/>
        </w:rPr>
        <w:t xml:space="preserve"> and account-</w:t>
      </w:r>
      <w:r w:rsidR="00F536C6">
        <w:rPr>
          <w:rFonts w:ascii="Times New Roman" w:hAnsi="Times New Roman" w:cs="Times New Roman"/>
        </w:rPr>
        <w:t>specific internal control ineffectiveness</w:t>
      </w:r>
      <w:r w:rsidR="002377D5">
        <w:rPr>
          <w:rFonts w:ascii="Times New Roman" w:hAnsi="Times New Roman" w:cs="Times New Roman"/>
        </w:rPr>
        <w:t xml:space="preserve"> </w:t>
      </w:r>
      <w:r w:rsidRPr="002315A7">
        <w:rPr>
          <w:rFonts w:ascii="Times New Roman" w:hAnsi="Times New Roman" w:cs="Times New Roman"/>
        </w:rPr>
        <w:t>separately.</w:t>
      </w:r>
    </w:p>
  </w:footnote>
  <w:footnote w:id="27">
    <w:p w14:paraId="5D6F54C8" w14:textId="7B2BB4C6" w:rsidR="00C87864" w:rsidRPr="003F2B17" w:rsidRDefault="00C87864">
      <w:pPr>
        <w:pStyle w:val="FootnoteText"/>
        <w:rPr>
          <w:rFonts w:ascii="Times New Roman" w:hAnsi="Times New Roman" w:cs="Times New Roman"/>
        </w:rPr>
      </w:pPr>
      <w:r w:rsidRPr="003F2B17">
        <w:rPr>
          <w:rStyle w:val="FootnoteReference"/>
          <w:rFonts w:ascii="Times New Roman" w:hAnsi="Times New Roman" w:cs="Times New Roman"/>
        </w:rPr>
        <w:footnoteRef/>
      </w:r>
      <w:r w:rsidRPr="003F2B17">
        <w:rPr>
          <w:rFonts w:ascii="Times New Roman" w:hAnsi="Times New Roman" w:cs="Times New Roman"/>
        </w:rPr>
        <w:t xml:space="preserve"> </w:t>
      </w:r>
      <w:r w:rsidR="003709B3" w:rsidRPr="003F2B17">
        <w:rPr>
          <w:rFonts w:ascii="Times New Roman" w:hAnsi="Times New Roman" w:cs="Times New Roman"/>
        </w:rPr>
        <w:t xml:space="preserve">For the control sample, pre- and post-relocation </w:t>
      </w:r>
      <w:proofErr w:type="spellStart"/>
      <w:r w:rsidR="00AF19A3" w:rsidRPr="004D56BE">
        <w:rPr>
          <w:rFonts w:ascii="Times New Roman" w:hAnsi="Times New Roman" w:cs="Times New Roman"/>
          <w:i/>
          <w:iCs/>
        </w:rPr>
        <w:t>ICINEFF</w:t>
      </w:r>
      <w:proofErr w:type="spellEnd"/>
      <w:r w:rsidR="00AF19A3" w:rsidRPr="003F2B17">
        <w:rPr>
          <w:rFonts w:ascii="Times New Roman" w:hAnsi="Times New Roman" w:cs="Times New Roman"/>
        </w:rPr>
        <w:t xml:space="preserve"> </w:t>
      </w:r>
      <w:r w:rsidR="003709B3" w:rsidRPr="003F2B17">
        <w:rPr>
          <w:rFonts w:ascii="Times New Roman" w:hAnsi="Times New Roman" w:cs="Times New Roman"/>
        </w:rPr>
        <w:t>rates are 153</w:t>
      </w:r>
      <w:r w:rsidR="00C95B94" w:rsidRPr="003F2B17">
        <w:rPr>
          <w:rFonts w:ascii="Times New Roman" w:hAnsi="Times New Roman" w:cs="Times New Roman"/>
        </w:rPr>
        <w:t xml:space="preserve"> (17.1%) and 154 (17.2%)</w:t>
      </w:r>
      <w:r w:rsidR="00893D4D" w:rsidRPr="003F2B17">
        <w:rPr>
          <w:rFonts w:ascii="Times New Roman" w:hAnsi="Times New Roman" w:cs="Times New Roman"/>
        </w:rPr>
        <w:t xml:space="preserve"> firm-year observations</w:t>
      </w:r>
      <w:r w:rsidR="00C95B94" w:rsidRPr="003F2B17">
        <w:rPr>
          <w:rFonts w:ascii="Times New Roman" w:hAnsi="Times New Roman" w:cs="Times New Roman"/>
        </w:rPr>
        <w:t xml:space="preserve">, respectively. Comparatively, the pre- and post-relocation </w:t>
      </w:r>
      <w:proofErr w:type="spellStart"/>
      <w:r w:rsidR="00AF19A3" w:rsidRPr="004D56BE">
        <w:rPr>
          <w:rFonts w:ascii="Times New Roman" w:hAnsi="Times New Roman" w:cs="Times New Roman"/>
          <w:i/>
          <w:iCs/>
        </w:rPr>
        <w:t>ICINEFF</w:t>
      </w:r>
      <w:proofErr w:type="spellEnd"/>
      <w:r w:rsidR="00AF19A3" w:rsidRPr="003F2B17">
        <w:rPr>
          <w:rFonts w:ascii="Times New Roman" w:hAnsi="Times New Roman" w:cs="Times New Roman"/>
        </w:rPr>
        <w:t xml:space="preserve"> </w:t>
      </w:r>
      <w:r w:rsidR="00C95B94" w:rsidRPr="003F2B17">
        <w:rPr>
          <w:rFonts w:ascii="Times New Roman" w:hAnsi="Times New Roman" w:cs="Times New Roman"/>
        </w:rPr>
        <w:t xml:space="preserve">rates for the relocation sample are </w:t>
      </w:r>
      <w:r w:rsidR="00893D4D" w:rsidRPr="003F2B17">
        <w:rPr>
          <w:rFonts w:ascii="Times New Roman" w:hAnsi="Times New Roman" w:cs="Times New Roman"/>
        </w:rPr>
        <w:t>172 (19.2%) and 197 (22.0%) firm-year observations, respectively.</w:t>
      </w:r>
    </w:p>
  </w:footnote>
  <w:footnote w:id="28">
    <w:p w14:paraId="435149C1" w14:textId="122FA0B5" w:rsidR="00AE69F7" w:rsidRPr="00A22412" w:rsidRDefault="00AE69F7">
      <w:pPr>
        <w:pStyle w:val="FootnoteText"/>
        <w:rPr>
          <w:rFonts w:ascii="Times New Roman" w:hAnsi="Times New Roman" w:cs="Times New Roman"/>
        </w:rPr>
      </w:pPr>
      <w:r w:rsidRPr="00A22412">
        <w:rPr>
          <w:rStyle w:val="FootnoteReference"/>
          <w:rFonts w:ascii="Times New Roman" w:hAnsi="Times New Roman" w:cs="Times New Roman"/>
        </w:rPr>
        <w:footnoteRef/>
      </w:r>
      <w:r w:rsidRPr="00A22412">
        <w:rPr>
          <w:rFonts w:ascii="Times New Roman" w:hAnsi="Times New Roman" w:cs="Times New Roman"/>
        </w:rPr>
        <w:t xml:space="preserve"> While we cannot </w:t>
      </w:r>
      <w:r w:rsidR="004E0213" w:rsidRPr="00A22412">
        <w:rPr>
          <w:rFonts w:ascii="Times New Roman" w:hAnsi="Times New Roman" w:cs="Times New Roman"/>
        </w:rPr>
        <w:t xml:space="preserve">rule out the possibility that relocations with no changes in social capital do not involve the breakage and formation of social ties, </w:t>
      </w:r>
      <w:r w:rsidR="00E31F1C" w:rsidRPr="00A22412">
        <w:rPr>
          <w:rFonts w:ascii="Times New Roman" w:hAnsi="Times New Roman" w:cs="Times New Roman"/>
        </w:rPr>
        <w:t>we argue that a change represents</w:t>
      </w:r>
      <w:r w:rsidR="00CA7F28" w:rsidRPr="00A22412">
        <w:rPr>
          <w:rFonts w:ascii="Times New Roman" w:hAnsi="Times New Roman" w:cs="Times New Roman"/>
        </w:rPr>
        <w:t xml:space="preserve"> </w:t>
      </w:r>
      <w:r w:rsidR="003A6BB7" w:rsidRPr="00A22412">
        <w:rPr>
          <w:rFonts w:ascii="Times New Roman" w:hAnsi="Times New Roman" w:cs="Times New Roman"/>
        </w:rPr>
        <w:t>permanent loss</w:t>
      </w:r>
      <w:r w:rsidR="00CA7F28" w:rsidRPr="00A22412">
        <w:rPr>
          <w:rFonts w:ascii="Times New Roman" w:hAnsi="Times New Roman" w:cs="Times New Roman"/>
        </w:rPr>
        <w:t>es</w:t>
      </w:r>
      <w:r w:rsidR="003A6BB7" w:rsidRPr="00A22412">
        <w:rPr>
          <w:rFonts w:ascii="Times New Roman" w:hAnsi="Times New Roman" w:cs="Times New Roman"/>
        </w:rPr>
        <w:t xml:space="preserve"> or gain</w:t>
      </w:r>
      <w:r w:rsidR="00CA7F28" w:rsidRPr="00A22412">
        <w:rPr>
          <w:rFonts w:ascii="Times New Roman" w:hAnsi="Times New Roman" w:cs="Times New Roman"/>
        </w:rPr>
        <w:t>s</w:t>
      </w:r>
      <w:r w:rsidR="003A6BB7" w:rsidRPr="00A22412">
        <w:rPr>
          <w:rFonts w:ascii="Times New Roman" w:hAnsi="Times New Roman" w:cs="Times New Roman"/>
        </w:rPr>
        <w:t xml:space="preserve"> in </w:t>
      </w:r>
      <w:r w:rsidR="00CA7F28" w:rsidRPr="00A22412">
        <w:rPr>
          <w:rFonts w:ascii="Times New Roman" w:hAnsi="Times New Roman" w:cs="Times New Roman"/>
        </w:rPr>
        <w:t xml:space="preserve">the quantity of </w:t>
      </w:r>
      <w:r w:rsidR="003A6BB7" w:rsidRPr="00A22412">
        <w:rPr>
          <w:rFonts w:ascii="Times New Roman" w:hAnsi="Times New Roman" w:cs="Times New Roman"/>
        </w:rPr>
        <w:t>social ties</w:t>
      </w:r>
      <w:r w:rsidR="00CA7F28" w:rsidRPr="00A22412">
        <w:rPr>
          <w:rFonts w:ascii="Times New Roman" w:hAnsi="Times New Roman" w:cs="Times New Roman"/>
        </w:rPr>
        <w:t xml:space="preserve">, which is </w:t>
      </w:r>
      <w:r w:rsidR="00754C1B" w:rsidRPr="00A22412">
        <w:rPr>
          <w:rFonts w:ascii="Times New Roman" w:hAnsi="Times New Roman" w:cs="Times New Roman"/>
        </w:rPr>
        <w:t xml:space="preserve">more disruptive. </w:t>
      </w:r>
    </w:p>
  </w:footnote>
  <w:footnote w:id="29">
    <w:p w14:paraId="28DF90D6" w14:textId="6C17CD9D" w:rsidR="00D41FB7" w:rsidRPr="00A22412" w:rsidRDefault="00D41FB7">
      <w:pPr>
        <w:pStyle w:val="FootnoteText"/>
        <w:rPr>
          <w:rFonts w:ascii="Times New Roman" w:hAnsi="Times New Roman" w:cs="Times New Roman"/>
        </w:rPr>
      </w:pPr>
      <w:r w:rsidRPr="00A22412">
        <w:rPr>
          <w:rStyle w:val="FootnoteReference"/>
          <w:rFonts w:ascii="Times New Roman" w:hAnsi="Times New Roman" w:cs="Times New Roman"/>
        </w:rPr>
        <w:footnoteRef/>
      </w:r>
      <w:r w:rsidRPr="00A22412">
        <w:rPr>
          <w:rFonts w:ascii="Times New Roman" w:hAnsi="Times New Roman" w:cs="Times New Roman"/>
        </w:rPr>
        <w:t xml:space="preserve"> In untabulated results, we rerun our analyses in </w:t>
      </w:r>
      <w:r w:rsidR="00DC55B9">
        <w:rPr>
          <w:rFonts w:ascii="Times New Roman" w:hAnsi="Times New Roman" w:cs="Times New Roman"/>
        </w:rPr>
        <w:t>Table V</w:t>
      </w:r>
      <w:r w:rsidRPr="00A22412">
        <w:rPr>
          <w:rFonts w:ascii="Times New Roman" w:hAnsi="Times New Roman" w:cs="Times New Roman"/>
        </w:rPr>
        <w:t xml:space="preserve"> using a multinomial logit regression which allows </w:t>
      </w:r>
      <w:r w:rsidR="004E0643" w:rsidRPr="00A22412">
        <w:rPr>
          <w:rFonts w:ascii="Times New Roman" w:hAnsi="Times New Roman" w:cs="Times New Roman"/>
        </w:rPr>
        <w:t xml:space="preserve">us </w:t>
      </w:r>
      <w:r w:rsidRPr="00A22412">
        <w:rPr>
          <w:rFonts w:ascii="Times New Roman" w:hAnsi="Times New Roman" w:cs="Times New Roman"/>
        </w:rPr>
        <w:t xml:space="preserve">to include </w:t>
      </w:r>
      <w:r w:rsidR="004E0643" w:rsidRPr="00A22412">
        <w:rPr>
          <w:rFonts w:ascii="Times New Roman" w:hAnsi="Times New Roman" w:cs="Times New Roman"/>
        </w:rPr>
        <w:t xml:space="preserve">the full sample. Our results and inferences are unchanged. </w:t>
      </w:r>
      <w:r w:rsidR="00316012" w:rsidRPr="00A22412">
        <w:rPr>
          <w:rFonts w:ascii="Times New Roman" w:hAnsi="Times New Roman" w:cs="Times New Roman"/>
        </w:rPr>
        <w:t>Thus, our results are not impacted by regression model specifications.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374F7"/>
    <w:multiLevelType w:val="hybridMultilevel"/>
    <w:tmpl w:val="249A6E36"/>
    <w:lvl w:ilvl="0" w:tplc="C6CE44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737B60"/>
    <w:multiLevelType w:val="multilevel"/>
    <w:tmpl w:val="C338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3B3533"/>
    <w:multiLevelType w:val="hybridMultilevel"/>
    <w:tmpl w:val="D64A7E0E"/>
    <w:lvl w:ilvl="0" w:tplc="702E1772">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79037C"/>
    <w:multiLevelType w:val="hybridMultilevel"/>
    <w:tmpl w:val="2CCCF3B2"/>
    <w:lvl w:ilvl="0" w:tplc="3446C8CE">
      <w:start w:val="7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914FB5"/>
    <w:multiLevelType w:val="hybridMultilevel"/>
    <w:tmpl w:val="A7666322"/>
    <w:lvl w:ilvl="0" w:tplc="CC4AC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260604">
    <w:abstractNumId w:val="1"/>
  </w:num>
  <w:num w:numId="2" w16cid:durableId="1731538271">
    <w:abstractNumId w:val="2"/>
  </w:num>
  <w:num w:numId="3" w16cid:durableId="1666591583">
    <w:abstractNumId w:val="0"/>
  </w:num>
  <w:num w:numId="4" w16cid:durableId="684477761">
    <w:abstractNumId w:val="4"/>
  </w:num>
  <w:num w:numId="5" w16cid:durableId="1592796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AyNDE2MzYzMTE1MLRQ0lEKTi0uzszPAykwqgUAIhrzRywAAAA="/>
  </w:docVars>
  <w:rsids>
    <w:rsidRoot w:val="00DE4DDE"/>
    <w:rsid w:val="000000B6"/>
    <w:rsid w:val="00000149"/>
    <w:rsid w:val="0000032F"/>
    <w:rsid w:val="00000626"/>
    <w:rsid w:val="000008F9"/>
    <w:rsid w:val="00000D02"/>
    <w:rsid w:val="000011D4"/>
    <w:rsid w:val="00001370"/>
    <w:rsid w:val="0000142B"/>
    <w:rsid w:val="000016B9"/>
    <w:rsid w:val="00001D88"/>
    <w:rsid w:val="000022D7"/>
    <w:rsid w:val="00002894"/>
    <w:rsid w:val="00002F45"/>
    <w:rsid w:val="00003C82"/>
    <w:rsid w:val="0000437E"/>
    <w:rsid w:val="00004CDA"/>
    <w:rsid w:val="00004F54"/>
    <w:rsid w:val="0000578F"/>
    <w:rsid w:val="00005D7B"/>
    <w:rsid w:val="000061E9"/>
    <w:rsid w:val="00006221"/>
    <w:rsid w:val="000062F0"/>
    <w:rsid w:val="000064DF"/>
    <w:rsid w:val="000065C4"/>
    <w:rsid w:val="000068B2"/>
    <w:rsid w:val="000069B2"/>
    <w:rsid w:val="00006A50"/>
    <w:rsid w:val="00006FDF"/>
    <w:rsid w:val="000077B1"/>
    <w:rsid w:val="00007BFA"/>
    <w:rsid w:val="00007EA7"/>
    <w:rsid w:val="00007F52"/>
    <w:rsid w:val="00010CE4"/>
    <w:rsid w:val="000114EE"/>
    <w:rsid w:val="0001159B"/>
    <w:rsid w:val="000116BE"/>
    <w:rsid w:val="000120FE"/>
    <w:rsid w:val="0001213D"/>
    <w:rsid w:val="000121F1"/>
    <w:rsid w:val="00012366"/>
    <w:rsid w:val="00013C0C"/>
    <w:rsid w:val="00013C64"/>
    <w:rsid w:val="00013F37"/>
    <w:rsid w:val="000144C2"/>
    <w:rsid w:val="0001553B"/>
    <w:rsid w:val="00015BE7"/>
    <w:rsid w:val="00016451"/>
    <w:rsid w:val="00016637"/>
    <w:rsid w:val="00016D39"/>
    <w:rsid w:val="00017930"/>
    <w:rsid w:val="000179EF"/>
    <w:rsid w:val="00020541"/>
    <w:rsid w:val="000206EB"/>
    <w:rsid w:val="000207A5"/>
    <w:rsid w:val="000207BB"/>
    <w:rsid w:val="00020E9B"/>
    <w:rsid w:val="00020F04"/>
    <w:rsid w:val="0002130D"/>
    <w:rsid w:val="000220D1"/>
    <w:rsid w:val="0002254B"/>
    <w:rsid w:val="00022DE6"/>
    <w:rsid w:val="00023544"/>
    <w:rsid w:val="000235D1"/>
    <w:rsid w:val="000240BD"/>
    <w:rsid w:val="00024652"/>
    <w:rsid w:val="00024EFB"/>
    <w:rsid w:val="00026100"/>
    <w:rsid w:val="00026809"/>
    <w:rsid w:val="00026A9B"/>
    <w:rsid w:val="00027C53"/>
    <w:rsid w:val="00031D91"/>
    <w:rsid w:val="00031F1C"/>
    <w:rsid w:val="000320C9"/>
    <w:rsid w:val="00032685"/>
    <w:rsid w:val="0003312D"/>
    <w:rsid w:val="0003395D"/>
    <w:rsid w:val="000341AD"/>
    <w:rsid w:val="000358C1"/>
    <w:rsid w:val="00036A28"/>
    <w:rsid w:val="00036C37"/>
    <w:rsid w:val="00036C91"/>
    <w:rsid w:val="00036CC5"/>
    <w:rsid w:val="0003724D"/>
    <w:rsid w:val="000373EE"/>
    <w:rsid w:val="00037641"/>
    <w:rsid w:val="000378A2"/>
    <w:rsid w:val="00040150"/>
    <w:rsid w:val="000405DB"/>
    <w:rsid w:val="000406F5"/>
    <w:rsid w:val="0004074E"/>
    <w:rsid w:val="00040A52"/>
    <w:rsid w:val="00040BA5"/>
    <w:rsid w:val="00040FF3"/>
    <w:rsid w:val="000412A5"/>
    <w:rsid w:val="00041460"/>
    <w:rsid w:val="000420C1"/>
    <w:rsid w:val="0004276D"/>
    <w:rsid w:val="000427B5"/>
    <w:rsid w:val="00042856"/>
    <w:rsid w:val="00042BD1"/>
    <w:rsid w:val="000436C7"/>
    <w:rsid w:val="00043A40"/>
    <w:rsid w:val="00043C84"/>
    <w:rsid w:val="00043CC7"/>
    <w:rsid w:val="00044CBD"/>
    <w:rsid w:val="00044DA5"/>
    <w:rsid w:val="00044F07"/>
    <w:rsid w:val="00044F93"/>
    <w:rsid w:val="0004557F"/>
    <w:rsid w:val="000458AC"/>
    <w:rsid w:val="00045F0E"/>
    <w:rsid w:val="000463F4"/>
    <w:rsid w:val="00046403"/>
    <w:rsid w:val="00046806"/>
    <w:rsid w:val="000475CE"/>
    <w:rsid w:val="000475F1"/>
    <w:rsid w:val="000476A4"/>
    <w:rsid w:val="00047C98"/>
    <w:rsid w:val="00050B56"/>
    <w:rsid w:val="000518AC"/>
    <w:rsid w:val="000528E7"/>
    <w:rsid w:val="0005297E"/>
    <w:rsid w:val="0005379F"/>
    <w:rsid w:val="00054351"/>
    <w:rsid w:val="00054961"/>
    <w:rsid w:val="00054BC1"/>
    <w:rsid w:val="000550DF"/>
    <w:rsid w:val="00055233"/>
    <w:rsid w:val="000554A5"/>
    <w:rsid w:val="00055562"/>
    <w:rsid w:val="00055985"/>
    <w:rsid w:val="00055D55"/>
    <w:rsid w:val="00056023"/>
    <w:rsid w:val="000560E6"/>
    <w:rsid w:val="00057B6B"/>
    <w:rsid w:val="00057E05"/>
    <w:rsid w:val="00060583"/>
    <w:rsid w:val="00060A02"/>
    <w:rsid w:val="00060B11"/>
    <w:rsid w:val="00060B6E"/>
    <w:rsid w:val="00060D4F"/>
    <w:rsid w:val="00060E4F"/>
    <w:rsid w:val="00060E82"/>
    <w:rsid w:val="000611D4"/>
    <w:rsid w:val="000613A4"/>
    <w:rsid w:val="0006147C"/>
    <w:rsid w:val="00061AF9"/>
    <w:rsid w:val="00061B20"/>
    <w:rsid w:val="00061DB3"/>
    <w:rsid w:val="00061E34"/>
    <w:rsid w:val="000620E0"/>
    <w:rsid w:val="000625A5"/>
    <w:rsid w:val="000628E6"/>
    <w:rsid w:val="0006354C"/>
    <w:rsid w:val="0006367D"/>
    <w:rsid w:val="000636A9"/>
    <w:rsid w:val="00063C06"/>
    <w:rsid w:val="00063F1A"/>
    <w:rsid w:val="000644BC"/>
    <w:rsid w:val="0006450B"/>
    <w:rsid w:val="00064B41"/>
    <w:rsid w:val="00064BE0"/>
    <w:rsid w:val="00064C03"/>
    <w:rsid w:val="00065637"/>
    <w:rsid w:val="0006671B"/>
    <w:rsid w:val="000667DB"/>
    <w:rsid w:val="000668B9"/>
    <w:rsid w:val="000669E2"/>
    <w:rsid w:val="00067004"/>
    <w:rsid w:val="0006747A"/>
    <w:rsid w:val="00067C48"/>
    <w:rsid w:val="00067EC7"/>
    <w:rsid w:val="00070597"/>
    <w:rsid w:val="00070786"/>
    <w:rsid w:val="00070BC3"/>
    <w:rsid w:val="00070BCC"/>
    <w:rsid w:val="00070CCE"/>
    <w:rsid w:val="00070D51"/>
    <w:rsid w:val="000711E5"/>
    <w:rsid w:val="000714C8"/>
    <w:rsid w:val="000718F4"/>
    <w:rsid w:val="00071F4B"/>
    <w:rsid w:val="000721B0"/>
    <w:rsid w:val="000722A3"/>
    <w:rsid w:val="000723C4"/>
    <w:rsid w:val="000725B3"/>
    <w:rsid w:val="0007280F"/>
    <w:rsid w:val="00072A35"/>
    <w:rsid w:val="00072EFA"/>
    <w:rsid w:val="00073588"/>
    <w:rsid w:val="0007393E"/>
    <w:rsid w:val="000747A2"/>
    <w:rsid w:val="00075435"/>
    <w:rsid w:val="000754D6"/>
    <w:rsid w:val="0007700B"/>
    <w:rsid w:val="00077A0B"/>
    <w:rsid w:val="00077A41"/>
    <w:rsid w:val="00077BC9"/>
    <w:rsid w:val="00077DAA"/>
    <w:rsid w:val="00077EB6"/>
    <w:rsid w:val="00080353"/>
    <w:rsid w:val="000805F8"/>
    <w:rsid w:val="00080658"/>
    <w:rsid w:val="00080744"/>
    <w:rsid w:val="00080A4D"/>
    <w:rsid w:val="000812C5"/>
    <w:rsid w:val="00081710"/>
    <w:rsid w:val="00081802"/>
    <w:rsid w:val="00084128"/>
    <w:rsid w:val="00084848"/>
    <w:rsid w:val="00084A97"/>
    <w:rsid w:val="00086237"/>
    <w:rsid w:val="00086239"/>
    <w:rsid w:val="00086358"/>
    <w:rsid w:val="0008720C"/>
    <w:rsid w:val="0009023F"/>
    <w:rsid w:val="00090B2F"/>
    <w:rsid w:val="00090C13"/>
    <w:rsid w:val="00091553"/>
    <w:rsid w:val="00091CBA"/>
    <w:rsid w:val="00092099"/>
    <w:rsid w:val="000920A5"/>
    <w:rsid w:val="00092561"/>
    <w:rsid w:val="00092E60"/>
    <w:rsid w:val="00092FDF"/>
    <w:rsid w:val="00093121"/>
    <w:rsid w:val="00093ADA"/>
    <w:rsid w:val="00093B13"/>
    <w:rsid w:val="00093B50"/>
    <w:rsid w:val="00093D98"/>
    <w:rsid w:val="000943C9"/>
    <w:rsid w:val="00094FE7"/>
    <w:rsid w:val="00095075"/>
    <w:rsid w:val="00095197"/>
    <w:rsid w:val="000954FA"/>
    <w:rsid w:val="0009563A"/>
    <w:rsid w:val="00095CA0"/>
    <w:rsid w:val="0009614D"/>
    <w:rsid w:val="00096348"/>
    <w:rsid w:val="0009650B"/>
    <w:rsid w:val="00096A3D"/>
    <w:rsid w:val="00096CAC"/>
    <w:rsid w:val="000972F2"/>
    <w:rsid w:val="000A0BE3"/>
    <w:rsid w:val="000A0C09"/>
    <w:rsid w:val="000A19CB"/>
    <w:rsid w:val="000A1E70"/>
    <w:rsid w:val="000A1F32"/>
    <w:rsid w:val="000A207C"/>
    <w:rsid w:val="000A224C"/>
    <w:rsid w:val="000A2514"/>
    <w:rsid w:val="000A2A8B"/>
    <w:rsid w:val="000A394F"/>
    <w:rsid w:val="000A3A94"/>
    <w:rsid w:val="000A3D46"/>
    <w:rsid w:val="000A3F65"/>
    <w:rsid w:val="000A4069"/>
    <w:rsid w:val="000A4A8B"/>
    <w:rsid w:val="000A4B40"/>
    <w:rsid w:val="000A5019"/>
    <w:rsid w:val="000A54B4"/>
    <w:rsid w:val="000A5706"/>
    <w:rsid w:val="000A5C1F"/>
    <w:rsid w:val="000A5D57"/>
    <w:rsid w:val="000A767A"/>
    <w:rsid w:val="000A797B"/>
    <w:rsid w:val="000B09A2"/>
    <w:rsid w:val="000B0CB7"/>
    <w:rsid w:val="000B0D81"/>
    <w:rsid w:val="000B1577"/>
    <w:rsid w:val="000B2F54"/>
    <w:rsid w:val="000B3948"/>
    <w:rsid w:val="000B3B82"/>
    <w:rsid w:val="000B3D12"/>
    <w:rsid w:val="000B3FF8"/>
    <w:rsid w:val="000B42F7"/>
    <w:rsid w:val="000B4559"/>
    <w:rsid w:val="000B4CFC"/>
    <w:rsid w:val="000B4E24"/>
    <w:rsid w:val="000B52B8"/>
    <w:rsid w:val="000B5CDD"/>
    <w:rsid w:val="000B5D32"/>
    <w:rsid w:val="000B646B"/>
    <w:rsid w:val="000B67E9"/>
    <w:rsid w:val="000B6B41"/>
    <w:rsid w:val="000B6C04"/>
    <w:rsid w:val="000B6CBC"/>
    <w:rsid w:val="000B7230"/>
    <w:rsid w:val="000B7C3F"/>
    <w:rsid w:val="000B7D91"/>
    <w:rsid w:val="000C005C"/>
    <w:rsid w:val="000C09C2"/>
    <w:rsid w:val="000C0A60"/>
    <w:rsid w:val="000C0B51"/>
    <w:rsid w:val="000C1CEF"/>
    <w:rsid w:val="000C295B"/>
    <w:rsid w:val="000C2A27"/>
    <w:rsid w:val="000C3DFE"/>
    <w:rsid w:val="000C451D"/>
    <w:rsid w:val="000C4723"/>
    <w:rsid w:val="000C4CEE"/>
    <w:rsid w:val="000C5C6D"/>
    <w:rsid w:val="000C6179"/>
    <w:rsid w:val="000C6B88"/>
    <w:rsid w:val="000C6D76"/>
    <w:rsid w:val="000C6DCD"/>
    <w:rsid w:val="000C77B6"/>
    <w:rsid w:val="000D0285"/>
    <w:rsid w:val="000D0305"/>
    <w:rsid w:val="000D0DF7"/>
    <w:rsid w:val="000D123F"/>
    <w:rsid w:val="000D16D4"/>
    <w:rsid w:val="000D1F56"/>
    <w:rsid w:val="000D2336"/>
    <w:rsid w:val="000D24C2"/>
    <w:rsid w:val="000D3AB1"/>
    <w:rsid w:val="000D3C85"/>
    <w:rsid w:val="000D4682"/>
    <w:rsid w:val="000D4A75"/>
    <w:rsid w:val="000D52A1"/>
    <w:rsid w:val="000D5901"/>
    <w:rsid w:val="000D624C"/>
    <w:rsid w:val="000D6A0C"/>
    <w:rsid w:val="000D7A2D"/>
    <w:rsid w:val="000E0525"/>
    <w:rsid w:val="000E0581"/>
    <w:rsid w:val="000E22C3"/>
    <w:rsid w:val="000E2BE6"/>
    <w:rsid w:val="000E5016"/>
    <w:rsid w:val="000E6B8A"/>
    <w:rsid w:val="000E6BC6"/>
    <w:rsid w:val="000E6C79"/>
    <w:rsid w:val="000E70FA"/>
    <w:rsid w:val="000E75F1"/>
    <w:rsid w:val="000E769B"/>
    <w:rsid w:val="000E7E10"/>
    <w:rsid w:val="000F048F"/>
    <w:rsid w:val="000F0535"/>
    <w:rsid w:val="000F0937"/>
    <w:rsid w:val="000F0B6D"/>
    <w:rsid w:val="000F0F5A"/>
    <w:rsid w:val="000F1064"/>
    <w:rsid w:val="000F1117"/>
    <w:rsid w:val="000F2BD3"/>
    <w:rsid w:val="000F3462"/>
    <w:rsid w:val="000F4449"/>
    <w:rsid w:val="000F4F48"/>
    <w:rsid w:val="000F59E8"/>
    <w:rsid w:val="000F5A73"/>
    <w:rsid w:val="000F5CB5"/>
    <w:rsid w:val="000F6673"/>
    <w:rsid w:val="000F6CC4"/>
    <w:rsid w:val="000F73DA"/>
    <w:rsid w:val="000F7D9D"/>
    <w:rsid w:val="000F7DDA"/>
    <w:rsid w:val="00100A60"/>
    <w:rsid w:val="00101813"/>
    <w:rsid w:val="001024B7"/>
    <w:rsid w:val="00103326"/>
    <w:rsid w:val="00103DAA"/>
    <w:rsid w:val="001046E2"/>
    <w:rsid w:val="00104C48"/>
    <w:rsid w:val="00105062"/>
    <w:rsid w:val="00105093"/>
    <w:rsid w:val="00106178"/>
    <w:rsid w:val="0010642A"/>
    <w:rsid w:val="0010758F"/>
    <w:rsid w:val="001075AF"/>
    <w:rsid w:val="0011084E"/>
    <w:rsid w:val="00110A53"/>
    <w:rsid w:val="00110BE0"/>
    <w:rsid w:val="00110C40"/>
    <w:rsid w:val="0011171A"/>
    <w:rsid w:val="001117F0"/>
    <w:rsid w:val="00111CE2"/>
    <w:rsid w:val="001123CF"/>
    <w:rsid w:val="00112626"/>
    <w:rsid w:val="001133EE"/>
    <w:rsid w:val="001142BE"/>
    <w:rsid w:val="00114A72"/>
    <w:rsid w:val="0011543C"/>
    <w:rsid w:val="00115446"/>
    <w:rsid w:val="00115A5F"/>
    <w:rsid w:val="00115D10"/>
    <w:rsid w:val="0011630A"/>
    <w:rsid w:val="00116E1C"/>
    <w:rsid w:val="00116FD9"/>
    <w:rsid w:val="00120278"/>
    <w:rsid w:val="0012042C"/>
    <w:rsid w:val="00120769"/>
    <w:rsid w:val="001210A9"/>
    <w:rsid w:val="00121ABF"/>
    <w:rsid w:val="00122C3F"/>
    <w:rsid w:val="0012343A"/>
    <w:rsid w:val="00123766"/>
    <w:rsid w:val="0012424F"/>
    <w:rsid w:val="0012427B"/>
    <w:rsid w:val="0012488D"/>
    <w:rsid w:val="001248E3"/>
    <w:rsid w:val="00124F97"/>
    <w:rsid w:val="0012546F"/>
    <w:rsid w:val="00125D96"/>
    <w:rsid w:val="00125F2D"/>
    <w:rsid w:val="001260E5"/>
    <w:rsid w:val="00126AA5"/>
    <w:rsid w:val="00126CD5"/>
    <w:rsid w:val="00127634"/>
    <w:rsid w:val="001277AF"/>
    <w:rsid w:val="001278D6"/>
    <w:rsid w:val="0013033F"/>
    <w:rsid w:val="00130829"/>
    <w:rsid w:val="00130B21"/>
    <w:rsid w:val="0013141D"/>
    <w:rsid w:val="0013190A"/>
    <w:rsid w:val="00131933"/>
    <w:rsid w:val="00131F9D"/>
    <w:rsid w:val="0013216A"/>
    <w:rsid w:val="0013269D"/>
    <w:rsid w:val="00132EAE"/>
    <w:rsid w:val="001334F3"/>
    <w:rsid w:val="001335A2"/>
    <w:rsid w:val="00133A97"/>
    <w:rsid w:val="00134196"/>
    <w:rsid w:val="00135600"/>
    <w:rsid w:val="0013601D"/>
    <w:rsid w:val="00136124"/>
    <w:rsid w:val="00136211"/>
    <w:rsid w:val="0013629D"/>
    <w:rsid w:val="001368A5"/>
    <w:rsid w:val="00136D77"/>
    <w:rsid w:val="00136D8C"/>
    <w:rsid w:val="00137615"/>
    <w:rsid w:val="00137944"/>
    <w:rsid w:val="00137D9A"/>
    <w:rsid w:val="0014006C"/>
    <w:rsid w:val="0014029B"/>
    <w:rsid w:val="00140E0A"/>
    <w:rsid w:val="001410C7"/>
    <w:rsid w:val="001422BF"/>
    <w:rsid w:val="001425E0"/>
    <w:rsid w:val="001428CD"/>
    <w:rsid w:val="00142A78"/>
    <w:rsid w:val="00142C55"/>
    <w:rsid w:val="00142DE4"/>
    <w:rsid w:val="0014328A"/>
    <w:rsid w:val="0014421E"/>
    <w:rsid w:val="00144BF4"/>
    <w:rsid w:val="00145308"/>
    <w:rsid w:val="00145A51"/>
    <w:rsid w:val="00145B45"/>
    <w:rsid w:val="00145EE6"/>
    <w:rsid w:val="00146ACD"/>
    <w:rsid w:val="00146E75"/>
    <w:rsid w:val="00147A76"/>
    <w:rsid w:val="00150B9F"/>
    <w:rsid w:val="001510BD"/>
    <w:rsid w:val="00151289"/>
    <w:rsid w:val="00151550"/>
    <w:rsid w:val="001519BA"/>
    <w:rsid w:val="00152180"/>
    <w:rsid w:val="00152520"/>
    <w:rsid w:val="0015256A"/>
    <w:rsid w:val="00153AC7"/>
    <w:rsid w:val="0015455A"/>
    <w:rsid w:val="00154998"/>
    <w:rsid w:val="00154DF5"/>
    <w:rsid w:val="0015556C"/>
    <w:rsid w:val="00155D7D"/>
    <w:rsid w:val="00156651"/>
    <w:rsid w:val="00156E1B"/>
    <w:rsid w:val="0015714D"/>
    <w:rsid w:val="001576C9"/>
    <w:rsid w:val="001579F1"/>
    <w:rsid w:val="00160029"/>
    <w:rsid w:val="001603C5"/>
    <w:rsid w:val="0016044A"/>
    <w:rsid w:val="001611FF"/>
    <w:rsid w:val="0016124E"/>
    <w:rsid w:val="00161710"/>
    <w:rsid w:val="001620B6"/>
    <w:rsid w:val="001620E0"/>
    <w:rsid w:val="001622AC"/>
    <w:rsid w:val="001623E6"/>
    <w:rsid w:val="001624A4"/>
    <w:rsid w:val="001627F8"/>
    <w:rsid w:val="0016293A"/>
    <w:rsid w:val="00162B81"/>
    <w:rsid w:val="00162E7B"/>
    <w:rsid w:val="00163638"/>
    <w:rsid w:val="0016389D"/>
    <w:rsid w:val="001643CF"/>
    <w:rsid w:val="00164743"/>
    <w:rsid w:val="00164D6F"/>
    <w:rsid w:val="00164DF8"/>
    <w:rsid w:val="0016536B"/>
    <w:rsid w:val="00165628"/>
    <w:rsid w:val="001658DE"/>
    <w:rsid w:val="00165C0A"/>
    <w:rsid w:val="001660E4"/>
    <w:rsid w:val="00166389"/>
    <w:rsid w:val="001668F5"/>
    <w:rsid w:val="00166BBE"/>
    <w:rsid w:val="00167745"/>
    <w:rsid w:val="00167E7E"/>
    <w:rsid w:val="0017064C"/>
    <w:rsid w:val="001707E4"/>
    <w:rsid w:val="001710D9"/>
    <w:rsid w:val="001714F7"/>
    <w:rsid w:val="00171FA3"/>
    <w:rsid w:val="00172364"/>
    <w:rsid w:val="00172C41"/>
    <w:rsid w:val="00173148"/>
    <w:rsid w:val="0017368A"/>
    <w:rsid w:val="001743F7"/>
    <w:rsid w:val="00174459"/>
    <w:rsid w:val="0017465D"/>
    <w:rsid w:val="00174ADF"/>
    <w:rsid w:val="00175271"/>
    <w:rsid w:val="0017559B"/>
    <w:rsid w:val="00176131"/>
    <w:rsid w:val="00176137"/>
    <w:rsid w:val="0017646B"/>
    <w:rsid w:val="00176470"/>
    <w:rsid w:val="00176515"/>
    <w:rsid w:val="00176821"/>
    <w:rsid w:val="00176ADB"/>
    <w:rsid w:val="00177968"/>
    <w:rsid w:val="00177A3D"/>
    <w:rsid w:val="0018033C"/>
    <w:rsid w:val="00180ABA"/>
    <w:rsid w:val="00181D32"/>
    <w:rsid w:val="001821D1"/>
    <w:rsid w:val="00182301"/>
    <w:rsid w:val="00183B07"/>
    <w:rsid w:val="00183B0E"/>
    <w:rsid w:val="00183BDE"/>
    <w:rsid w:val="00184217"/>
    <w:rsid w:val="00184873"/>
    <w:rsid w:val="00184945"/>
    <w:rsid w:val="00186E34"/>
    <w:rsid w:val="0018755D"/>
    <w:rsid w:val="00190194"/>
    <w:rsid w:val="00190A42"/>
    <w:rsid w:val="00190CE0"/>
    <w:rsid w:val="00190F08"/>
    <w:rsid w:val="001913C1"/>
    <w:rsid w:val="001915AC"/>
    <w:rsid w:val="00191658"/>
    <w:rsid w:val="0019175C"/>
    <w:rsid w:val="0019187B"/>
    <w:rsid w:val="00191974"/>
    <w:rsid w:val="00191BA0"/>
    <w:rsid w:val="00191E8B"/>
    <w:rsid w:val="001920E4"/>
    <w:rsid w:val="00192E8D"/>
    <w:rsid w:val="001930D7"/>
    <w:rsid w:val="001930F0"/>
    <w:rsid w:val="0019395F"/>
    <w:rsid w:val="00193A1E"/>
    <w:rsid w:val="00194D0C"/>
    <w:rsid w:val="00194E1B"/>
    <w:rsid w:val="00195E15"/>
    <w:rsid w:val="00195EB3"/>
    <w:rsid w:val="00195EEA"/>
    <w:rsid w:val="001962BF"/>
    <w:rsid w:val="00196A9F"/>
    <w:rsid w:val="00197365"/>
    <w:rsid w:val="00197BFB"/>
    <w:rsid w:val="001A058C"/>
    <w:rsid w:val="001A05A8"/>
    <w:rsid w:val="001A06AA"/>
    <w:rsid w:val="001A178A"/>
    <w:rsid w:val="001A26F6"/>
    <w:rsid w:val="001A2B92"/>
    <w:rsid w:val="001A2EE3"/>
    <w:rsid w:val="001A2FDD"/>
    <w:rsid w:val="001A328B"/>
    <w:rsid w:val="001A32A2"/>
    <w:rsid w:val="001A35E0"/>
    <w:rsid w:val="001A3AE2"/>
    <w:rsid w:val="001A3C76"/>
    <w:rsid w:val="001A423E"/>
    <w:rsid w:val="001A4294"/>
    <w:rsid w:val="001A42EE"/>
    <w:rsid w:val="001A4924"/>
    <w:rsid w:val="001A4B47"/>
    <w:rsid w:val="001A5A61"/>
    <w:rsid w:val="001A5CF5"/>
    <w:rsid w:val="001A5FF6"/>
    <w:rsid w:val="001A5FFA"/>
    <w:rsid w:val="001A60EC"/>
    <w:rsid w:val="001A6401"/>
    <w:rsid w:val="001A6F13"/>
    <w:rsid w:val="001A706A"/>
    <w:rsid w:val="001A718D"/>
    <w:rsid w:val="001A731E"/>
    <w:rsid w:val="001A7464"/>
    <w:rsid w:val="001A74BC"/>
    <w:rsid w:val="001A7F43"/>
    <w:rsid w:val="001B0C24"/>
    <w:rsid w:val="001B0DF4"/>
    <w:rsid w:val="001B15DE"/>
    <w:rsid w:val="001B2538"/>
    <w:rsid w:val="001B260A"/>
    <w:rsid w:val="001B263C"/>
    <w:rsid w:val="001B2CDB"/>
    <w:rsid w:val="001B3031"/>
    <w:rsid w:val="001B328E"/>
    <w:rsid w:val="001B385A"/>
    <w:rsid w:val="001B39B1"/>
    <w:rsid w:val="001B3FE9"/>
    <w:rsid w:val="001B4086"/>
    <w:rsid w:val="001B41F3"/>
    <w:rsid w:val="001B4B58"/>
    <w:rsid w:val="001B4D75"/>
    <w:rsid w:val="001B633E"/>
    <w:rsid w:val="001B6665"/>
    <w:rsid w:val="001B7CD6"/>
    <w:rsid w:val="001C0295"/>
    <w:rsid w:val="001C0CB8"/>
    <w:rsid w:val="001C0E00"/>
    <w:rsid w:val="001C101A"/>
    <w:rsid w:val="001C196F"/>
    <w:rsid w:val="001C1ACD"/>
    <w:rsid w:val="001C1B69"/>
    <w:rsid w:val="001C1BDE"/>
    <w:rsid w:val="001C1DA2"/>
    <w:rsid w:val="001C1E38"/>
    <w:rsid w:val="001C1EE6"/>
    <w:rsid w:val="001C23B0"/>
    <w:rsid w:val="001C243D"/>
    <w:rsid w:val="001C3282"/>
    <w:rsid w:val="001C3D9B"/>
    <w:rsid w:val="001C50AF"/>
    <w:rsid w:val="001C5750"/>
    <w:rsid w:val="001C5B56"/>
    <w:rsid w:val="001C5DA2"/>
    <w:rsid w:val="001C6144"/>
    <w:rsid w:val="001C68CA"/>
    <w:rsid w:val="001C7341"/>
    <w:rsid w:val="001C7685"/>
    <w:rsid w:val="001C7ABA"/>
    <w:rsid w:val="001C7EB5"/>
    <w:rsid w:val="001D04FA"/>
    <w:rsid w:val="001D06DC"/>
    <w:rsid w:val="001D0E5C"/>
    <w:rsid w:val="001D1595"/>
    <w:rsid w:val="001D1F81"/>
    <w:rsid w:val="001D20E2"/>
    <w:rsid w:val="001D30EA"/>
    <w:rsid w:val="001D364D"/>
    <w:rsid w:val="001D36A5"/>
    <w:rsid w:val="001D406B"/>
    <w:rsid w:val="001D40FF"/>
    <w:rsid w:val="001D42D4"/>
    <w:rsid w:val="001D4891"/>
    <w:rsid w:val="001D4DD7"/>
    <w:rsid w:val="001D5591"/>
    <w:rsid w:val="001D5873"/>
    <w:rsid w:val="001D5F64"/>
    <w:rsid w:val="001D60B6"/>
    <w:rsid w:val="001D6460"/>
    <w:rsid w:val="001D6632"/>
    <w:rsid w:val="001D68BA"/>
    <w:rsid w:val="001D6D36"/>
    <w:rsid w:val="001D7251"/>
    <w:rsid w:val="001D7279"/>
    <w:rsid w:val="001D7369"/>
    <w:rsid w:val="001D7C7F"/>
    <w:rsid w:val="001E023F"/>
    <w:rsid w:val="001E097C"/>
    <w:rsid w:val="001E0ABF"/>
    <w:rsid w:val="001E11CA"/>
    <w:rsid w:val="001E2647"/>
    <w:rsid w:val="001E288C"/>
    <w:rsid w:val="001E2CE1"/>
    <w:rsid w:val="001E3478"/>
    <w:rsid w:val="001E3558"/>
    <w:rsid w:val="001E3A5A"/>
    <w:rsid w:val="001E3EAC"/>
    <w:rsid w:val="001E40CF"/>
    <w:rsid w:val="001E4F67"/>
    <w:rsid w:val="001E6746"/>
    <w:rsid w:val="001E68B4"/>
    <w:rsid w:val="001E6D44"/>
    <w:rsid w:val="001E7473"/>
    <w:rsid w:val="001E775E"/>
    <w:rsid w:val="001F0063"/>
    <w:rsid w:val="001F1197"/>
    <w:rsid w:val="001F12E7"/>
    <w:rsid w:val="001F130E"/>
    <w:rsid w:val="001F1CBD"/>
    <w:rsid w:val="001F2100"/>
    <w:rsid w:val="001F428D"/>
    <w:rsid w:val="001F4772"/>
    <w:rsid w:val="001F47D8"/>
    <w:rsid w:val="001F4B0A"/>
    <w:rsid w:val="001F56DB"/>
    <w:rsid w:val="001F6578"/>
    <w:rsid w:val="001F6689"/>
    <w:rsid w:val="001F6881"/>
    <w:rsid w:val="001F69E6"/>
    <w:rsid w:val="001F7A85"/>
    <w:rsid w:val="001F7AAD"/>
    <w:rsid w:val="00200020"/>
    <w:rsid w:val="00200609"/>
    <w:rsid w:val="00200895"/>
    <w:rsid w:val="00200B54"/>
    <w:rsid w:val="00200D6B"/>
    <w:rsid w:val="0020125E"/>
    <w:rsid w:val="002015FF"/>
    <w:rsid w:val="0020172A"/>
    <w:rsid w:val="00202563"/>
    <w:rsid w:val="0020286C"/>
    <w:rsid w:val="0020301C"/>
    <w:rsid w:val="00203819"/>
    <w:rsid w:val="00203D27"/>
    <w:rsid w:val="002048A9"/>
    <w:rsid w:val="00204A59"/>
    <w:rsid w:val="00204F6A"/>
    <w:rsid w:val="0020504A"/>
    <w:rsid w:val="00205CE4"/>
    <w:rsid w:val="00210442"/>
    <w:rsid w:val="00210B52"/>
    <w:rsid w:val="00210DA3"/>
    <w:rsid w:val="00210F3B"/>
    <w:rsid w:val="002120C4"/>
    <w:rsid w:val="0021352C"/>
    <w:rsid w:val="00213BE6"/>
    <w:rsid w:val="00214283"/>
    <w:rsid w:val="002144C6"/>
    <w:rsid w:val="00214D27"/>
    <w:rsid w:val="00215BF5"/>
    <w:rsid w:val="002169A9"/>
    <w:rsid w:val="00216DEC"/>
    <w:rsid w:val="002178ED"/>
    <w:rsid w:val="0022071A"/>
    <w:rsid w:val="00220743"/>
    <w:rsid w:val="00221007"/>
    <w:rsid w:val="00221023"/>
    <w:rsid w:val="0022145D"/>
    <w:rsid w:val="00221D83"/>
    <w:rsid w:val="00221F61"/>
    <w:rsid w:val="00223357"/>
    <w:rsid w:val="0022356E"/>
    <w:rsid w:val="00223722"/>
    <w:rsid w:val="00223943"/>
    <w:rsid w:val="00223B2B"/>
    <w:rsid w:val="00223CA2"/>
    <w:rsid w:val="00223EEA"/>
    <w:rsid w:val="00224858"/>
    <w:rsid w:val="00224E92"/>
    <w:rsid w:val="0022506B"/>
    <w:rsid w:val="0022535D"/>
    <w:rsid w:val="002254AA"/>
    <w:rsid w:val="00225948"/>
    <w:rsid w:val="00226334"/>
    <w:rsid w:val="00226969"/>
    <w:rsid w:val="00226C39"/>
    <w:rsid w:val="00227052"/>
    <w:rsid w:val="00227104"/>
    <w:rsid w:val="00227174"/>
    <w:rsid w:val="002272E9"/>
    <w:rsid w:val="002272F2"/>
    <w:rsid w:val="0022794A"/>
    <w:rsid w:val="00227EAB"/>
    <w:rsid w:val="002304C3"/>
    <w:rsid w:val="00231124"/>
    <w:rsid w:val="002313B3"/>
    <w:rsid w:val="002315A7"/>
    <w:rsid w:val="002318E9"/>
    <w:rsid w:val="00231A2D"/>
    <w:rsid w:val="00231B24"/>
    <w:rsid w:val="002324C4"/>
    <w:rsid w:val="00232A25"/>
    <w:rsid w:val="00233291"/>
    <w:rsid w:val="00233516"/>
    <w:rsid w:val="0023392D"/>
    <w:rsid w:val="00233CE1"/>
    <w:rsid w:val="0023422E"/>
    <w:rsid w:val="002345AF"/>
    <w:rsid w:val="0023476B"/>
    <w:rsid w:val="002351F4"/>
    <w:rsid w:val="00235357"/>
    <w:rsid w:val="00235C30"/>
    <w:rsid w:val="00236CB2"/>
    <w:rsid w:val="002377D5"/>
    <w:rsid w:val="00237ABF"/>
    <w:rsid w:val="00237F1F"/>
    <w:rsid w:val="0024055C"/>
    <w:rsid w:val="002409F0"/>
    <w:rsid w:val="0024141B"/>
    <w:rsid w:val="00241A0B"/>
    <w:rsid w:val="0024207F"/>
    <w:rsid w:val="0024220F"/>
    <w:rsid w:val="00242372"/>
    <w:rsid w:val="00242CCF"/>
    <w:rsid w:val="0024303A"/>
    <w:rsid w:val="002432B4"/>
    <w:rsid w:val="00243B4D"/>
    <w:rsid w:val="00244941"/>
    <w:rsid w:val="00244BDB"/>
    <w:rsid w:val="00245693"/>
    <w:rsid w:val="002463C2"/>
    <w:rsid w:val="00246F1F"/>
    <w:rsid w:val="00246F49"/>
    <w:rsid w:val="002474A5"/>
    <w:rsid w:val="00247B87"/>
    <w:rsid w:val="00250767"/>
    <w:rsid w:val="0025094E"/>
    <w:rsid w:val="00250999"/>
    <w:rsid w:val="00251F50"/>
    <w:rsid w:val="002529CD"/>
    <w:rsid w:val="00252B13"/>
    <w:rsid w:val="00252C12"/>
    <w:rsid w:val="00253576"/>
    <w:rsid w:val="00253608"/>
    <w:rsid w:val="00253982"/>
    <w:rsid w:val="00253EBE"/>
    <w:rsid w:val="00254197"/>
    <w:rsid w:val="0025446C"/>
    <w:rsid w:val="002546C9"/>
    <w:rsid w:val="00254866"/>
    <w:rsid w:val="002550F2"/>
    <w:rsid w:val="00256C94"/>
    <w:rsid w:val="00256DF7"/>
    <w:rsid w:val="00256FD1"/>
    <w:rsid w:val="00257284"/>
    <w:rsid w:val="00257AF7"/>
    <w:rsid w:val="0026046E"/>
    <w:rsid w:val="00260825"/>
    <w:rsid w:val="00260FE8"/>
    <w:rsid w:val="00261324"/>
    <w:rsid w:val="00261729"/>
    <w:rsid w:val="00261DCC"/>
    <w:rsid w:val="00262230"/>
    <w:rsid w:val="00262317"/>
    <w:rsid w:val="00262B4B"/>
    <w:rsid w:val="002643CC"/>
    <w:rsid w:val="0026480B"/>
    <w:rsid w:val="0026480C"/>
    <w:rsid w:val="002651D8"/>
    <w:rsid w:val="00265638"/>
    <w:rsid w:val="00265A9C"/>
    <w:rsid w:val="00266669"/>
    <w:rsid w:val="00266B8D"/>
    <w:rsid w:val="00266BC0"/>
    <w:rsid w:val="0026749E"/>
    <w:rsid w:val="002679EE"/>
    <w:rsid w:val="00267AEA"/>
    <w:rsid w:val="00267CAA"/>
    <w:rsid w:val="00267F95"/>
    <w:rsid w:val="00270225"/>
    <w:rsid w:val="002705C5"/>
    <w:rsid w:val="00271415"/>
    <w:rsid w:val="0027210A"/>
    <w:rsid w:val="00272357"/>
    <w:rsid w:val="00272419"/>
    <w:rsid w:val="00272BBA"/>
    <w:rsid w:val="00273009"/>
    <w:rsid w:val="002731A2"/>
    <w:rsid w:val="002731AA"/>
    <w:rsid w:val="002732AD"/>
    <w:rsid w:val="002741C1"/>
    <w:rsid w:val="002754D6"/>
    <w:rsid w:val="00275C53"/>
    <w:rsid w:val="00275CDB"/>
    <w:rsid w:val="00275DBF"/>
    <w:rsid w:val="00275EB3"/>
    <w:rsid w:val="00276A28"/>
    <w:rsid w:val="002773D4"/>
    <w:rsid w:val="0027786D"/>
    <w:rsid w:val="002779E1"/>
    <w:rsid w:val="00277B56"/>
    <w:rsid w:val="00280356"/>
    <w:rsid w:val="00280CC9"/>
    <w:rsid w:val="00281349"/>
    <w:rsid w:val="00281921"/>
    <w:rsid w:val="00281963"/>
    <w:rsid w:val="00281EAB"/>
    <w:rsid w:val="002821B3"/>
    <w:rsid w:val="00282205"/>
    <w:rsid w:val="002828AF"/>
    <w:rsid w:val="00282A30"/>
    <w:rsid w:val="00283B3C"/>
    <w:rsid w:val="002842E9"/>
    <w:rsid w:val="002843CF"/>
    <w:rsid w:val="0028459D"/>
    <w:rsid w:val="00284CC4"/>
    <w:rsid w:val="00284ED7"/>
    <w:rsid w:val="0028512D"/>
    <w:rsid w:val="00285B55"/>
    <w:rsid w:val="00286091"/>
    <w:rsid w:val="00286282"/>
    <w:rsid w:val="00286B4A"/>
    <w:rsid w:val="00287807"/>
    <w:rsid w:val="00287BFF"/>
    <w:rsid w:val="00290B5C"/>
    <w:rsid w:val="00291D61"/>
    <w:rsid w:val="00292022"/>
    <w:rsid w:val="00293A57"/>
    <w:rsid w:val="00293AA5"/>
    <w:rsid w:val="002940A4"/>
    <w:rsid w:val="002945DC"/>
    <w:rsid w:val="00294673"/>
    <w:rsid w:val="00294A3F"/>
    <w:rsid w:val="00295412"/>
    <w:rsid w:val="00295D31"/>
    <w:rsid w:val="0029601B"/>
    <w:rsid w:val="0029626E"/>
    <w:rsid w:val="0029673D"/>
    <w:rsid w:val="002967C1"/>
    <w:rsid w:val="00296AC5"/>
    <w:rsid w:val="0029705A"/>
    <w:rsid w:val="002A04ED"/>
    <w:rsid w:val="002A159C"/>
    <w:rsid w:val="002A29CC"/>
    <w:rsid w:val="002A3A91"/>
    <w:rsid w:val="002A3AD5"/>
    <w:rsid w:val="002A461E"/>
    <w:rsid w:val="002A51D7"/>
    <w:rsid w:val="002A54AA"/>
    <w:rsid w:val="002A5531"/>
    <w:rsid w:val="002A5CA8"/>
    <w:rsid w:val="002A5D68"/>
    <w:rsid w:val="002A6109"/>
    <w:rsid w:val="002A68C4"/>
    <w:rsid w:val="002A6AEB"/>
    <w:rsid w:val="002A6B38"/>
    <w:rsid w:val="002A6C46"/>
    <w:rsid w:val="002A6FDB"/>
    <w:rsid w:val="002A7141"/>
    <w:rsid w:val="002A722C"/>
    <w:rsid w:val="002A72F0"/>
    <w:rsid w:val="002A75AA"/>
    <w:rsid w:val="002A79EC"/>
    <w:rsid w:val="002A7CA7"/>
    <w:rsid w:val="002B00CD"/>
    <w:rsid w:val="002B03EB"/>
    <w:rsid w:val="002B09C9"/>
    <w:rsid w:val="002B132E"/>
    <w:rsid w:val="002B134C"/>
    <w:rsid w:val="002B1735"/>
    <w:rsid w:val="002B178B"/>
    <w:rsid w:val="002B1C4E"/>
    <w:rsid w:val="002B1DCC"/>
    <w:rsid w:val="002B1E71"/>
    <w:rsid w:val="002B1E8C"/>
    <w:rsid w:val="002B2584"/>
    <w:rsid w:val="002B2ECA"/>
    <w:rsid w:val="002B3A64"/>
    <w:rsid w:val="002B3E09"/>
    <w:rsid w:val="002B3F59"/>
    <w:rsid w:val="002B5409"/>
    <w:rsid w:val="002B5474"/>
    <w:rsid w:val="002B57D0"/>
    <w:rsid w:val="002B5B48"/>
    <w:rsid w:val="002B6068"/>
    <w:rsid w:val="002B6F86"/>
    <w:rsid w:val="002B7E9D"/>
    <w:rsid w:val="002C0678"/>
    <w:rsid w:val="002C0DC3"/>
    <w:rsid w:val="002C0EB4"/>
    <w:rsid w:val="002C12B8"/>
    <w:rsid w:val="002C14A1"/>
    <w:rsid w:val="002C15C2"/>
    <w:rsid w:val="002C1C27"/>
    <w:rsid w:val="002C1EA3"/>
    <w:rsid w:val="002C2617"/>
    <w:rsid w:val="002C2B88"/>
    <w:rsid w:val="002C2CE5"/>
    <w:rsid w:val="002C2E67"/>
    <w:rsid w:val="002C2F30"/>
    <w:rsid w:val="002C39FD"/>
    <w:rsid w:val="002C3A01"/>
    <w:rsid w:val="002C3AD5"/>
    <w:rsid w:val="002C462F"/>
    <w:rsid w:val="002C51A4"/>
    <w:rsid w:val="002C526A"/>
    <w:rsid w:val="002C5CAC"/>
    <w:rsid w:val="002C5FE9"/>
    <w:rsid w:val="002C617C"/>
    <w:rsid w:val="002C67D0"/>
    <w:rsid w:val="002C6A64"/>
    <w:rsid w:val="002C6B7C"/>
    <w:rsid w:val="002C6EE9"/>
    <w:rsid w:val="002C7758"/>
    <w:rsid w:val="002C78D7"/>
    <w:rsid w:val="002C7B85"/>
    <w:rsid w:val="002C7C90"/>
    <w:rsid w:val="002D01C6"/>
    <w:rsid w:val="002D1FAE"/>
    <w:rsid w:val="002D2062"/>
    <w:rsid w:val="002D21CB"/>
    <w:rsid w:val="002D272C"/>
    <w:rsid w:val="002D28DB"/>
    <w:rsid w:val="002D3050"/>
    <w:rsid w:val="002D3188"/>
    <w:rsid w:val="002D341B"/>
    <w:rsid w:val="002D38E4"/>
    <w:rsid w:val="002D3921"/>
    <w:rsid w:val="002D3AFC"/>
    <w:rsid w:val="002D441A"/>
    <w:rsid w:val="002D46FC"/>
    <w:rsid w:val="002D4972"/>
    <w:rsid w:val="002D4F40"/>
    <w:rsid w:val="002D5025"/>
    <w:rsid w:val="002D5AD2"/>
    <w:rsid w:val="002D5B8F"/>
    <w:rsid w:val="002D5BAA"/>
    <w:rsid w:val="002D5D0D"/>
    <w:rsid w:val="002D5F27"/>
    <w:rsid w:val="002D6543"/>
    <w:rsid w:val="002D6617"/>
    <w:rsid w:val="002D704B"/>
    <w:rsid w:val="002D7AE2"/>
    <w:rsid w:val="002D7E33"/>
    <w:rsid w:val="002E00FA"/>
    <w:rsid w:val="002E046B"/>
    <w:rsid w:val="002E0754"/>
    <w:rsid w:val="002E0F9C"/>
    <w:rsid w:val="002E10DA"/>
    <w:rsid w:val="002E12F8"/>
    <w:rsid w:val="002E18CD"/>
    <w:rsid w:val="002E2D65"/>
    <w:rsid w:val="002E2EAB"/>
    <w:rsid w:val="002E2F43"/>
    <w:rsid w:val="002E37AF"/>
    <w:rsid w:val="002E3A3F"/>
    <w:rsid w:val="002E3AC2"/>
    <w:rsid w:val="002E40AC"/>
    <w:rsid w:val="002E54D1"/>
    <w:rsid w:val="002E6102"/>
    <w:rsid w:val="002E6173"/>
    <w:rsid w:val="002E64F2"/>
    <w:rsid w:val="002E668B"/>
    <w:rsid w:val="002E67B0"/>
    <w:rsid w:val="002E6BB7"/>
    <w:rsid w:val="002E6DAA"/>
    <w:rsid w:val="002E7783"/>
    <w:rsid w:val="002E7830"/>
    <w:rsid w:val="002F05D0"/>
    <w:rsid w:val="002F09F7"/>
    <w:rsid w:val="002F0B27"/>
    <w:rsid w:val="002F0E1F"/>
    <w:rsid w:val="002F0EAB"/>
    <w:rsid w:val="002F18AD"/>
    <w:rsid w:val="002F1906"/>
    <w:rsid w:val="002F1D92"/>
    <w:rsid w:val="002F2A3B"/>
    <w:rsid w:val="002F2E58"/>
    <w:rsid w:val="002F346F"/>
    <w:rsid w:val="002F375B"/>
    <w:rsid w:val="002F37AE"/>
    <w:rsid w:val="002F3C2B"/>
    <w:rsid w:val="002F43E7"/>
    <w:rsid w:val="002F46B3"/>
    <w:rsid w:val="002F4AC6"/>
    <w:rsid w:val="002F4C5B"/>
    <w:rsid w:val="002F4D95"/>
    <w:rsid w:val="002F57C3"/>
    <w:rsid w:val="002F58DB"/>
    <w:rsid w:val="002F5F9F"/>
    <w:rsid w:val="002F611A"/>
    <w:rsid w:val="002F63A1"/>
    <w:rsid w:val="002F6530"/>
    <w:rsid w:val="002F68EE"/>
    <w:rsid w:val="002F6B24"/>
    <w:rsid w:val="002F6F59"/>
    <w:rsid w:val="002F7338"/>
    <w:rsid w:val="00300122"/>
    <w:rsid w:val="00300496"/>
    <w:rsid w:val="003008C9"/>
    <w:rsid w:val="0030137B"/>
    <w:rsid w:val="0030198D"/>
    <w:rsid w:val="00301F5C"/>
    <w:rsid w:val="00302071"/>
    <w:rsid w:val="003027BB"/>
    <w:rsid w:val="00303155"/>
    <w:rsid w:val="003031D1"/>
    <w:rsid w:val="00303228"/>
    <w:rsid w:val="003032E5"/>
    <w:rsid w:val="0030341E"/>
    <w:rsid w:val="003034D4"/>
    <w:rsid w:val="0030384A"/>
    <w:rsid w:val="00304B17"/>
    <w:rsid w:val="003056A4"/>
    <w:rsid w:val="00305BDB"/>
    <w:rsid w:val="00305BF1"/>
    <w:rsid w:val="00306367"/>
    <w:rsid w:val="0030646B"/>
    <w:rsid w:val="00306A4D"/>
    <w:rsid w:val="00306D46"/>
    <w:rsid w:val="003074C8"/>
    <w:rsid w:val="00310073"/>
    <w:rsid w:val="00310D9C"/>
    <w:rsid w:val="003116E3"/>
    <w:rsid w:val="00311FBC"/>
    <w:rsid w:val="00312246"/>
    <w:rsid w:val="003133C1"/>
    <w:rsid w:val="00313982"/>
    <w:rsid w:val="00313ED7"/>
    <w:rsid w:val="00315550"/>
    <w:rsid w:val="0031567C"/>
    <w:rsid w:val="00315A9D"/>
    <w:rsid w:val="00316012"/>
    <w:rsid w:val="003160CC"/>
    <w:rsid w:val="003160DD"/>
    <w:rsid w:val="003166D3"/>
    <w:rsid w:val="00316899"/>
    <w:rsid w:val="0031745C"/>
    <w:rsid w:val="003176C4"/>
    <w:rsid w:val="00317704"/>
    <w:rsid w:val="00317856"/>
    <w:rsid w:val="00320B29"/>
    <w:rsid w:val="00320D56"/>
    <w:rsid w:val="00320DD1"/>
    <w:rsid w:val="003211DB"/>
    <w:rsid w:val="0032181C"/>
    <w:rsid w:val="00321A3C"/>
    <w:rsid w:val="00321A47"/>
    <w:rsid w:val="00321B1E"/>
    <w:rsid w:val="00322585"/>
    <w:rsid w:val="00322D8C"/>
    <w:rsid w:val="00323081"/>
    <w:rsid w:val="00323323"/>
    <w:rsid w:val="00324184"/>
    <w:rsid w:val="00324BD6"/>
    <w:rsid w:val="00324E66"/>
    <w:rsid w:val="00325073"/>
    <w:rsid w:val="0032512C"/>
    <w:rsid w:val="0032513A"/>
    <w:rsid w:val="00325250"/>
    <w:rsid w:val="00325EB0"/>
    <w:rsid w:val="00326961"/>
    <w:rsid w:val="00326B83"/>
    <w:rsid w:val="00326C36"/>
    <w:rsid w:val="00326E3B"/>
    <w:rsid w:val="00327AA7"/>
    <w:rsid w:val="00327C07"/>
    <w:rsid w:val="0033004F"/>
    <w:rsid w:val="00331366"/>
    <w:rsid w:val="00332DFF"/>
    <w:rsid w:val="003335D0"/>
    <w:rsid w:val="00334738"/>
    <w:rsid w:val="00334E71"/>
    <w:rsid w:val="003354A3"/>
    <w:rsid w:val="00335935"/>
    <w:rsid w:val="00335C81"/>
    <w:rsid w:val="00336A4F"/>
    <w:rsid w:val="00336DCE"/>
    <w:rsid w:val="00336FE2"/>
    <w:rsid w:val="00337605"/>
    <w:rsid w:val="00337970"/>
    <w:rsid w:val="00337B76"/>
    <w:rsid w:val="00337E7A"/>
    <w:rsid w:val="0034005C"/>
    <w:rsid w:val="00340070"/>
    <w:rsid w:val="00340A09"/>
    <w:rsid w:val="00340CDE"/>
    <w:rsid w:val="00340E00"/>
    <w:rsid w:val="00340E4F"/>
    <w:rsid w:val="00341EB7"/>
    <w:rsid w:val="00341FE8"/>
    <w:rsid w:val="0034233D"/>
    <w:rsid w:val="0034250E"/>
    <w:rsid w:val="00343070"/>
    <w:rsid w:val="0034328A"/>
    <w:rsid w:val="00343294"/>
    <w:rsid w:val="003433AA"/>
    <w:rsid w:val="003437D9"/>
    <w:rsid w:val="003442B6"/>
    <w:rsid w:val="0034433E"/>
    <w:rsid w:val="00344D92"/>
    <w:rsid w:val="00346648"/>
    <w:rsid w:val="00346D16"/>
    <w:rsid w:val="003472FA"/>
    <w:rsid w:val="00347C1C"/>
    <w:rsid w:val="0035025C"/>
    <w:rsid w:val="00350597"/>
    <w:rsid w:val="003507DF"/>
    <w:rsid w:val="00350898"/>
    <w:rsid w:val="00351A4C"/>
    <w:rsid w:val="00352052"/>
    <w:rsid w:val="003523A5"/>
    <w:rsid w:val="00353011"/>
    <w:rsid w:val="00353DBC"/>
    <w:rsid w:val="00353F36"/>
    <w:rsid w:val="00354412"/>
    <w:rsid w:val="00354828"/>
    <w:rsid w:val="00356066"/>
    <w:rsid w:val="00356438"/>
    <w:rsid w:val="0035686A"/>
    <w:rsid w:val="00356B2A"/>
    <w:rsid w:val="00357C47"/>
    <w:rsid w:val="00360249"/>
    <w:rsid w:val="00360B26"/>
    <w:rsid w:val="00361517"/>
    <w:rsid w:val="00361B5D"/>
    <w:rsid w:val="00362614"/>
    <w:rsid w:val="00362C1F"/>
    <w:rsid w:val="00362D39"/>
    <w:rsid w:val="00362E11"/>
    <w:rsid w:val="003634DD"/>
    <w:rsid w:val="003637E1"/>
    <w:rsid w:val="00363B2C"/>
    <w:rsid w:val="00363C3C"/>
    <w:rsid w:val="00363D75"/>
    <w:rsid w:val="00363DF8"/>
    <w:rsid w:val="0036400F"/>
    <w:rsid w:val="00364337"/>
    <w:rsid w:val="00364424"/>
    <w:rsid w:val="00364A85"/>
    <w:rsid w:val="003668E4"/>
    <w:rsid w:val="00366ADE"/>
    <w:rsid w:val="00366FB2"/>
    <w:rsid w:val="0036748F"/>
    <w:rsid w:val="00367BE3"/>
    <w:rsid w:val="003709B3"/>
    <w:rsid w:val="00370D32"/>
    <w:rsid w:val="00371A46"/>
    <w:rsid w:val="00371B2A"/>
    <w:rsid w:val="00371C94"/>
    <w:rsid w:val="00371E94"/>
    <w:rsid w:val="0037231D"/>
    <w:rsid w:val="00372646"/>
    <w:rsid w:val="003726CD"/>
    <w:rsid w:val="003728B6"/>
    <w:rsid w:val="00372A97"/>
    <w:rsid w:val="00372E59"/>
    <w:rsid w:val="0037345C"/>
    <w:rsid w:val="00373E1D"/>
    <w:rsid w:val="0037442B"/>
    <w:rsid w:val="00374973"/>
    <w:rsid w:val="00374A0E"/>
    <w:rsid w:val="00375A1F"/>
    <w:rsid w:val="00375B6B"/>
    <w:rsid w:val="0037626D"/>
    <w:rsid w:val="00376A65"/>
    <w:rsid w:val="00377D87"/>
    <w:rsid w:val="003802D8"/>
    <w:rsid w:val="00380959"/>
    <w:rsid w:val="00380A83"/>
    <w:rsid w:val="003810C5"/>
    <w:rsid w:val="00381DC4"/>
    <w:rsid w:val="00382BC3"/>
    <w:rsid w:val="00382DA3"/>
    <w:rsid w:val="00382E81"/>
    <w:rsid w:val="00382F90"/>
    <w:rsid w:val="00383401"/>
    <w:rsid w:val="003835B1"/>
    <w:rsid w:val="00384D8A"/>
    <w:rsid w:val="00385024"/>
    <w:rsid w:val="00385A6D"/>
    <w:rsid w:val="0038623A"/>
    <w:rsid w:val="00386904"/>
    <w:rsid w:val="00386A75"/>
    <w:rsid w:val="00387DAA"/>
    <w:rsid w:val="00390792"/>
    <w:rsid w:val="00390ACC"/>
    <w:rsid w:val="00390D12"/>
    <w:rsid w:val="00390F6C"/>
    <w:rsid w:val="00391340"/>
    <w:rsid w:val="003914AD"/>
    <w:rsid w:val="00391A0E"/>
    <w:rsid w:val="0039231C"/>
    <w:rsid w:val="00392544"/>
    <w:rsid w:val="00392FE5"/>
    <w:rsid w:val="0039305B"/>
    <w:rsid w:val="003933DB"/>
    <w:rsid w:val="00393414"/>
    <w:rsid w:val="003934C2"/>
    <w:rsid w:val="003935D3"/>
    <w:rsid w:val="00393AAF"/>
    <w:rsid w:val="00393DC9"/>
    <w:rsid w:val="00393E67"/>
    <w:rsid w:val="00395368"/>
    <w:rsid w:val="00395A41"/>
    <w:rsid w:val="00395F57"/>
    <w:rsid w:val="00396067"/>
    <w:rsid w:val="00396820"/>
    <w:rsid w:val="003969B4"/>
    <w:rsid w:val="00396F18"/>
    <w:rsid w:val="00397C27"/>
    <w:rsid w:val="00397E1B"/>
    <w:rsid w:val="003A00C4"/>
    <w:rsid w:val="003A0229"/>
    <w:rsid w:val="003A0678"/>
    <w:rsid w:val="003A0C39"/>
    <w:rsid w:val="003A1188"/>
    <w:rsid w:val="003A1986"/>
    <w:rsid w:val="003A1ACC"/>
    <w:rsid w:val="003A1D2C"/>
    <w:rsid w:val="003A223D"/>
    <w:rsid w:val="003A26F8"/>
    <w:rsid w:val="003A2E73"/>
    <w:rsid w:val="003A2FCF"/>
    <w:rsid w:val="003A392F"/>
    <w:rsid w:val="003A4149"/>
    <w:rsid w:val="003A449C"/>
    <w:rsid w:val="003A4897"/>
    <w:rsid w:val="003A4991"/>
    <w:rsid w:val="003A4C1F"/>
    <w:rsid w:val="003A4CC0"/>
    <w:rsid w:val="003A5118"/>
    <w:rsid w:val="003A530A"/>
    <w:rsid w:val="003A53F6"/>
    <w:rsid w:val="003A5A0A"/>
    <w:rsid w:val="003A6BB7"/>
    <w:rsid w:val="003A6C02"/>
    <w:rsid w:val="003A6E88"/>
    <w:rsid w:val="003B03E8"/>
    <w:rsid w:val="003B056B"/>
    <w:rsid w:val="003B129E"/>
    <w:rsid w:val="003B1328"/>
    <w:rsid w:val="003B176E"/>
    <w:rsid w:val="003B183E"/>
    <w:rsid w:val="003B19C1"/>
    <w:rsid w:val="003B2930"/>
    <w:rsid w:val="003B2F59"/>
    <w:rsid w:val="003B3BB1"/>
    <w:rsid w:val="003B3FE7"/>
    <w:rsid w:val="003B4BF1"/>
    <w:rsid w:val="003B51BD"/>
    <w:rsid w:val="003B63D3"/>
    <w:rsid w:val="003B6632"/>
    <w:rsid w:val="003B7158"/>
    <w:rsid w:val="003C01F7"/>
    <w:rsid w:val="003C0D0C"/>
    <w:rsid w:val="003C0D4E"/>
    <w:rsid w:val="003C0E50"/>
    <w:rsid w:val="003C11F0"/>
    <w:rsid w:val="003C1959"/>
    <w:rsid w:val="003C1B58"/>
    <w:rsid w:val="003C1D4D"/>
    <w:rsid w:val="003C1F75"/>
    <w:rsid w:val="003C2227"/>
    <w:rsid w:val="003C2A17"/>
    <w:rsid w:val="003C33E8"/>
    <w:rsid w:val="003C39D3"/>
    <w:rsid w:val="003C417F"/>
    <w:rsid w:val="003C41A4"/>
    <w:rsid w:val="003C41B9"/>
    <w:rsid w:val="003C4599"/>
    <w:rsid w:val="003C5554"/>
    <w:rsid w:val="003C638E"/>
    <w:rsid w:val="003C639F"/>
    <w:rsid w:val="003C705E"/>
    <w:rsid w:val="003C71A4"/>
    <w:rsid w:val="003D033B"/>
    <w:rsid w:val="003D0581"/>
    <w:rsid w:val="003D1000"/>
    <w:rsid w:val="003D12B9"/>
    <w:rsid w:val="003D15BB"/>
    <w:rsid w:val="003D18A5"/>
    <w:rsid w:val="003D3591"/>
    <w:rsid w:val="003D453C"/>
    <w:rsid w:val="003D4DC5"/>
    <w:rsid w:val="003D518B"/>
    <w:rsid w:val="003D5404"/>
    <w:rsid w:val="003D5410"/>
    <w:rsid w:val="003D583B"/>
    <w:rsid w:val="003D5C88"/>
    <w:rsid w:val="003D6619"/>
    <w:rsid w:val="003D7FA9"/>
    <w:rsid w:val="003E0D03"/>
    <w:rsid w:val="003E115C"/>
    <w:rsid w:val="003E1DF8"/>
    <w:rsid w:val="003E2135"/>
    <w:rsid w:val="003E21D7"/>
    <w:rsid w:val="003E229F"/>
    <w:rsid w:val="003E23A0"/>
    <w:rsid w:val="003E24EC"/>
    <w:rsid w:val="003E26FE"/>
    <w:rsid w:val="003E2A02"/>
    <w:rsid w:val="003E2A21"/>
    <w:rsid w:val="003E2AC6"/>
    <w:rsid w:val="003E338D"/>
    <w:rsid w:val="003E360B"/>
    <w:rsid w:val="003E37F0"/>
    <w:rsid w:val="003E3850"/>
    <w:rsid w:val="003E3D94"/>
    <w:rsid w:val="003E445A"/>
    <w:rsid w:val="003E4A3C"/>
    <w:rsid w:val="003E4C6D"/>
    <w:rsid w:val="003E4D7C"/>
    <w:rsid w:val="003E5287"/>
    <w:rsid w:val="003E5C40"/>
    <w:rsid w:val="003E5D32"/>
    <w:rsid w:val="003E5DE9"/>
    <w:rsid w:val="003E6285"/>
    <w:rsid w:val="003E64D7"/>
    <w:rsid w:val="003E6528"/>
    <w:rsid w:val="003E6821"/>
    <w:rsid w:val="003E7482"/>
    <w:rsid w:val="003E7AC2"/>
    <w:rsid w:val="003E7E78"/>
    <w:rsid w:val="003F04E8"/>
    <w:rsid w:val="003F067C"/>
    <w:rsid w:val="003F07AA"/>
    <w:rsid w:val="003F1187"/>
    <w:rsid w:val="003F1E4C"/>
    <w:rsid w:val="003F24C9"/>
    <w:rsid w:val="003F2B17"/>
    <w:rsid w:val="003F37F4"/>
    <w:rsid w:val="003F41DA"/>
    <w:rsid w:val="003F42FB"/>
    <w:rsid w:val="003F44A0"/>
    <w:rsid w:val="003F45A7"/>
    <w:rsid w:val="003F4CA3"/>
    <w:rsid w:val="003F4E17"/>
    <w:rsid w:val="003F5CB0"/>
    <w:rsid w:val="003F6666"/>
    <w:rsid w:val="003F68C5"/>
    <w:rsid w:val="003F6BE2"/>
    <w:rsid w:val="003F6BFF"/>
    <w:rsid w:val="003F6CB4"/>
    <w:rsid w:val="003F7489"/>
    <w:rsid w:val="003F766B"/>
    <w:rsid w:val="003F7855"/>
    <w:rsid w:val="003F7D74"/>
    <w:rsid w:val="0040058C"/>
    <w:rsid w:val="00400BCE"/>
    <w:rsid w:val="00401140"/>
    <w:rsid w:val="004017DA"/>
    <w:rsid w:val="0040199D"/>
    <w:rsid w:val="00401B48"/>
    <w:rsid w:val="00401CE4"/>
    <w:rsid w:val="0040202E"/>
    <w:rsid w:val="004025B1"/>
    <w:rsid w:val="0040271B"/>
    <w:rsid w:val="00403B9E"/>
    <w:rsid w:val="00403E99"/>
    <w:rsid w:val="004040CF"/>
    <w:rsid w:val="00404261"/>
    <w:rsid w:val="00404AD8"/>
    <w:rsid w:val="00404CA8"/>
    <w:rsid w:val="004057AD"/>
    <w:rsid w:val="004057C6"/>
    <w:rsid w:val="00405FE5"/>
    <w:rsid w:val="0040631D"/>
    <w:rsid w:val="00406364"/>
    <w:rsid w:val="00406C3C"/>
    <w:rsid w:val="004072DC"/>
    <w:rsid w:val="00407BF3"/>
    <w:rsid w:val="00407CDE"/>
    <w:rsid w:val="004106A0"/>
    <w:rsid w:val="00410886"/>
    <w:rsid w:val="00410E4B"/>
    <w:rsid w:val="00410FC0"/>
    <w:rsid w:val="00411230"/>
    <w:rsid w:val="00411C5E"/>
    <w:rsid w:val="00412726"/>
    <w:rsid w:val="004127C9"/>
    <w:rsid w:val="00412A72"/>
    <w:rsid w:val="00412C9F"/>
    <w:rsid w:val="004131A2"/>
    <w:rsid w:val="004133C2"/>
    <w:rsid w:val="00414770"/>
    <w:rsid w:val="0041534D"/>
    <w:rsid w:val="004158E7"/>
    <w:rsid w:val="00415CED"/>
    <w:rsid w:val="0041632D"/>
    <w:rsid w:val="00416445"/>
    <w:rsid w:val="00416595"/>
    <w:rsid w:val="00416FD7"/>
    <w:rsid w:val="0042076A"/>
    <w:rsid w:val="0042083E"/>
    <w:rsid w:val="004210E1"/>
    <w:rsid w:val="00421290"/>
    <w:rsid w:val="00421886"/>
    <w:rsid w:val="00421C91"/>
    <w:rsid w:val="00421FCA"/>
    <w:rsid w:val="004221E2"/>
    <w:rsid w:val="00422B0D"/>
    <w:rsid w:val="00423411"/>
    <w:rsid w:val="00423A00"/>
    <w:rsid w:val="00423BE3"/>
    <w:rsid w:val="00424299"/>
    <w:rsid w:val="0042467D"/>
    <w:rsid w:val="004247AE"/>
    <w:rsid w:val="0042538D"/>
    <w:rsid w:val="00425B76"/>
    <w:rsid w:val="00425EED"/>
    <w:rsid w:val="0042630F"/>
    <w:rsid w:val="00426B81"/>
    <w:rsid w:val="00426EA3"/>
    <w:rsid w:val="00427C5F"/>
    <w:rsid w:val="00427E0E"/>
    <w:rsid w:val="00427E45"/>
    <w:rsid w:val="004305E1"/>
    <w:rsid w:val="004306EF"/>
    <w:rsid w:val="0043122B"/>
    <w:rsid w:val="004318DC"/>
    <w:rsid w:val="00431B7F"/>
    <w:rsid w:val="00431D31"/>
    <w:rsid w:val="00432036"/>
    <w:rsid w:val="00432ADC"/>
    <w:rsid w:val="00432B08"/>
    <w:rsid w:val="00433432"/>
    <w:rsid w:val="00433C46"/>
    <w:rsid w:val="0043557F"/>
    <w:rsid w:val="00435E95"/>
    <w:rsid w:val="00436155"/>
    <w:rsid w:val="0043623F"/>
    <w:rsid w:val="004367F5"/>
    <w:rsid w:val="004371D9"/>
    <w:rsid w:val="00437EAD"/>
    <w:rsid w:val="00440473"/>
    <w:rsid w:val="00440883"/>
    <w:rsid w:val="0044089C"/>
    <w:rsid w:val="00440A34"/>
    <w:rsid w:val="00440AF0"/>
    <w:rsid w:val="00441240"/>
    <w:rsid w:val="00441403"/>
    <w:rsid w:val="00441646"/>
    <w:rsid w:val="00441770"/>
    <w:rsid w:val="004419BE"/>
    <w:rsid w:val="00442574"/>
    <w:rsid w:val="004427C3"/>
    <w:rsid w:val="00442CEC"/>
    <w:rsid w:val="004438FA"/>
    <w:rsid w:val="004444B5"/>
    <w:rsid w:val="00444855"/>
    <w:rsid w:val="00444A98"/>
    <w:rsid w:val="004452C3"/>
    <w:rsid w:val="004453E1"/>
    <w:rsid w:val="004465B7"/>
    <w:rsid w:val="004465D0"/>
    <w:rsid w:val="00446996"/>
    <w:rsid w:val="004472D7"/>
    <w:rsid w:val="00450A8F"/>
    <w:rsid w:val="004513E7"/>
    <w:rsid w:val="0045153C"/>
    <w:rsid w:val="0045157A"/>
    <w:rsid w:val="00451816"/>
    <w:rsid w:val="00451D98"/>
    <w:rsid w:val="004522F3"/>
    <w:rsid w:val="00452467"/>
    <w:rsid w:val="004524B7"/>
    <w:rsid w:val="00452505"/>
    <w:rsid w:val="00453440"/>
    <w:rsid w:val="00454315"/>
    <w:rsid w:val="004544B1"/>
    <w:rsid w:val="00454951"/>
    <w:rsid w:val="00454E10"/>
    <w:rsid w:val="004554C8"/>
    <w:rsid w:val="004556EA"/>
    <w:rsid w:val="00455A8A"/>
    <w:rsid w:val="00455B9C"/>
    <w:rsid w:val="00455D02"/>
    <w:rsid w:val="00455F49"/>
    <w:rsid w:val="004562EA"/>
    <w:rsid w:val="0045649B"/>
    <w:rsid w:val="004564F3"/>
    <w:rsid w:val="0045704B"/>
    <w:rsid w:val="004571B7"/>
    <w:rsid w:val="00457F3A"/>
    <w:rsid w:val="00460048"/>
    <w:rsid w:val="004600B2"/>
    <w:rsid w:val="004604A9"/>
    <w:rsid w:val="00460857"/>
    <w:rsid w:val="00460B71"/>
    <w:rsid w:val="0046182E"/>
    <w:rsid w:val="00461CA4"/>
    <w:rsid w:val="0046285B"/>
    <w:rsid w:val="004636C5"/>
    <w:rsid w:val="00463878"/>
    <w:rsid w:val="00463C99"/>
    <w:rsid w:val="00463D7B"/>
    <w:rsid w:val="004641DC"/>
    <w:rsid w:val="0046448C"/>
    <w:rsid w:val="004645B5"/>
    <w:rsid w:val="004645D0"/>
    <w:rsid w:val="0046492E"/>
    <w:rsid w:val="00464A7D"/>
    <w:rsid w:val="004652AD"/>
    <w:rsid w:val="004653AE"/>
    <w:rsid w:val="00465496"/>
    <w:rsid w:val="00465B6C"/>
    <w:rsid w:val="00465BE8"/>
    <w:rsid w:val="00465D11"/>
    <w:rsid w:val="00465E0A"/>
    <w:rsid w:val="00466AEA"/>
    <w:rsid w:val="00466B49"/>
    <w:rsid w:val="00466CD3"/>
    <w:rsid w:val="00466EAB"/>
    <w:rsid w:val="00467438"/>
    <w:rsid w:val="00467449"/>
    <w:rsid w:val="004676ED"/>
    <w:rsid w:val="00467BCD"/>
    <w:rsid w:val="00470462"/>
    <w:rsid w:val="0047073A"/>
    <w:rsid w:val="00470C23"/>
    <w:rsid w:val="00470FA7"/>
    <w:rsid w:val="0047102A"/>
    <w:rsid w:val="004711B5"/>
    <w:rsid w:val="00471819"/>
    <w:rsid w:val="00471868"/>
    <w:rsid w:val="00472379"/>
    <w:rsid w:val="00472799"/>
    <w:rsid w:val="004727DC"/>
    <w:rsid w:val="004729CF"/>
    <w:rsid w:val="00473144"/>
    <w:rsid w:val="00473D81"/>
    <w:rsid w:val="00473D97"/>
    <w:rsid w:val="00473FF8"/>
    <w:rsid w:val="004745AF"/>
    <w:rsid w:val="004745CB"/>
    <w:rsid w:val="00474B1F"/>
    <w:rsid w:val="004751FB"/>
    <w:rsid w:val="004760B0"/>
    <w:rsid w:val="00476710"/>
    <w:rsid w:val="00476B22"/>
    <w:rsid w:val="0047708E"/>
    <w:rsid w:val="0047727F"/>
    <w:rsid w:val="00477434"/>
    <w:rsid w:val="0047753C"/>
    <w:rsid w:val="00477C5A"/>
    <w:rsid w:val="00480076"/>
    <w:rsid w:val="00480565"/>
    <w:rsid w:val="00480B62"/>
    <w:rsid w:val="00480F81"/>
    <w:rsid w:val="004818F0"/>
    <w:rsid w:val="00482860"/>
    <w:rsid w:val="004832BF"/>
    <w:rsid w:val="00483561"/>
    <w:rsid w:val="0048372E"/>
    <w:rsid w:val="0048376B"/>
    <w:rsid w:val="0048424F"/>
    <w:rsid w:val="0048452A"/>
    <w:rsid w:val="0048490B"/>
    <w:rsid w:val="00485131"/>
    <w:rsid w:val="0048553D"/>
    <w:rsid w:val="00485DB4"/>
    <w:rsid w:val="00485F32"/>
    <w:rsid w:val="0048608A"/>
    <w:rsid w:val="004865AB"/>
    <w:rsid w:val="004868A0"/>
    <w:rsid w:val="00486DAA"/>
    <w:rsid w:val="00486E3D"/>
    <w:rsid w:val="004875C1"/>
    <w:rsid w:val="00487A62"/>
    <w:rsid w:val="00487BF8"/>
    <w:rsid w:val="00487CEA"/>
    <w:rsid w:val="00487D35"/>
    <w:rsid w:val="00487D57"/>
    <w:rsid w:val="00490794"/>
    <w:rsid w:val="004908BC"/>
    <w:rsid w:val="0049129A"/>
    <w:rsid w:val="00491ED3"/>
    <w:rsid w:val="004922D7"/>
    <w:rsid w:val="0049296C"/>
    <w:rsid w:val="00492A94"/>
    <w:rsid w:val="00492BF9"/>
    <w:rsid w:val="004934EF"/>
    <w:rsid w:val="0049375E"/>
    <w:rsid w:val="00493A78"/>
    <w:rsid w:val="00493BF9"/>
    <w:rsid w:val="00494310"/>
    <w:rsid w:val="004947B5"/>
    <w:rsid w:val="00494ACC"/>
    <w:rsid w:val="004950CE"/>
    <w:rsid w:val="00495324"/>
    <w:rsid w:val="0049544E"/>
    <w:rsid w:val="00495951"/>
    <w:rsid w:val="00495F6F"/>
    <w:rsid w:val="004963D5"/>
    <w:rsid w:val="0049658F"/>
    <w:rsid w:val="004969BF"/>
    <w:rsid w:val="00497C8F"/>
    <w:rsid w:val="004A0987"/>
    <w:rsid w:val="004A0AD3"/>
    <w:rsid w:val="004A1D9E"/>
    <w:rsid w:val="004A2127"/>
    <w:rsid w:val="004A28BD"/>
    <w:rsid w:val="004A2DCD"/>
    <w:rsid w:val="004A32C2"/>
    <w:rsid w:val="004A3520"/>
    <w:rsid w:val="004A35F4"/>
    <w:rsid w:val="004A3BC0"/>
    <w:rsid w:val="004A4C02"/>
    <w:rsid w:val="004A4EF4"/>
    <w:rsid w:val="004A4FC9"/>
    <w:rsid w:val="004A51E3"/>
    <w:rsid w:val="004A5A35"/>
    <w:rsid w:val="004A5DC3"/>
    <w:rsid w:val="004A5FC8"/>
    <w:rsid w:val="004A6079"/>
    <w:rsid w:val="004A6B37"/>
    <w:rsid w:val="004A6C4E"/>
    <w:rsid w:val="004A71E8"/>
    <w:rsid w:val="004B0208"/>
    <w:rsid w:val="004B03D5"/>
    <w:rsid w:val="004B053F"/>
    <w:rsid w:val="004B2495"/>
    <w:rsid w:val="004B2604"/>
    <w:rsid w:val="004B2AD2"/>
    <w:rsid w:val="004B30BE"/>
    <w:rsid w:val="004B310B"/>
    <w:rsid w:val="004B345A"/>
    <w:rsid w:val="004B4265"/>
    <w:rsid w:val="004B4556"/>
    <w:rsid w:val="004B4948"/>
    <w:rsid w:val="004B495A"/>
    <w:rsid w:val="004B4CAE"/>
    <w:rsid w:val="004B54B3"/>
    <w:rsid w:val="004B5A45"/>
    <w:rsid w:val="004B700F"/>
    <w:rsid w:val="004B77DE"/>
    <w:rsid w:val="004B7ED1"/>
    <w:rsid w:val="004C02C9"/>
    <w:rsid w:val="004C02F6"/>
    <w:rsid w:val="004C0EE4"/>
    <w:rsid w:val="004C1190"/>
    <w:rsid w:val="004C1D2C"/>
    <w:rsid w:val="004C252B"/>
    <w:rsid w:val="004C2934"/>
    <w:rsid w:val="004C2AD8"/>
    <w:rsid w:val="004C30FB"/>
    <w:rsid w:val="004C3287"/>
    <w:rsid w:val="004C370A"/>
    <w:rsid w:val="004C3ADC"/>
    <w:rsid w:val="004C3AFB"/>
    <w:rsid w:val="004C3C7F"/>
    <w:rsid w:val="004C415E"/>
    <w:rsid w:val="004C4188"/>
    <w:rsid w:val="004C468E"/>
    <w:rsid w:val="004C4AB8"/>
    <w:rsid w:val="004C555F"/>
    <w:rsid w:val="004C57B9"/>
    <w:rsid w:val="004C5948"/>
    <w:rsid w:val="004C67F6"/>
    <w:rsid w:val="004C6B30"/>
    <w:rsid w:val="004C6E37"/>
    <w:rsid w:val="004C74EE"/>
    <w:rsid w:val="004C74FB"/>
    <w:rsid w:val="004C7685"/>
    <w:rsid w:val="004C77CD"/>
    <w:rsid w:val="004C77DA"/>
    <w:rsid w:val="004C78C0"/>
    <w:rsid w:val="004D045F"/>
    <w:rsid w:val="004D08AE"/>
    <w:rsid w:val="004D1412"/>
    <w:rsid w:val="004D144D"/>
    <w:rsid w:val="004D1A2D"/>
    <w:rsid w:val="004D1EB9"/>
    <w:rsid w:val="004D3705"/>
    <w:rsid w:val="004D3CDC"/>
    <w:rsid w:val="004D3E3D"/>
    <w:rsid w:val="004D48F2"/>
    <w:rsid w:val="004D499B"/>
    <w:rsid w:val="004D49E2"/>
    <w:rsid w:val="004D4CB7"/>
    <w:rsid w:val="004D56BE"/>
    <w:rsid w:val="004D6072"/>
    <w:rsid w:val="004D7A44"/>
    <w:rsid w:val="004E0089"/>
    <w:rsid w:val="004E0213"/>
    <w:rsid w:val="004E0643"/>
    <w:rsid w:val="004E171E"/>
    <w:rsid w:val="004E177F"/>
    <w:rsid w:val="004E1AFC"/>
    <w:rsid w:val="004E1C4D"/>
    <w:rsid w:val="004E2383"/>
    <w:rsid w:val="004E2658"/>
    <w:rsid w:val="004E2B0A"/>
    <w:rsid w:val="004E44D4"/>
    <w:rsid w:val="004E5397"/>
    <w:rsid w:val="004E6320"/>
    <w:rsid w:val="004E64CF"/>
    <w:rsid w:val="004E67CC"/>
    <w:rsid w:val="004E6ABE"/>
    <w:rsid w:val="004E70E5"/>
    <w:rsid w:val="004E7BAC"/>
    <w:rsid w:val="004E7C0D"/>
    <w:rsid w:val="004F0155"/>
    <w:rsid w:val="004F03F6"/>
    <w:rsid w:val="004F0B05"/>
    <w:rsid w:val="004F108B"/>
    <w:rsid w:val="004F112A"/>
    <w:rsid w:val="004F11F5"/>
    <w:rsid w:val="004F1678"/>
    <w:rsid w:val="004F211D"/>
    <w:rsid w:val="004F2351"/>
    <w:rsid w:val="004F2E4B"/>
    <w:rsid w:val="004F2F42"/>
    <w:rsid w:val="004F35AD"/>
    <w:rsid w:val="004F364A"/>
    <w:rsid w:val="004F39FB"/>
    <w:rsid w:val="004F4934"/>
    <w:rsid w:val="004F4AD8"/>
    <w:rsid w:val="004F4D9D"/>
    <w:rsid w:val="004F5246"/>
    <w:rsid w:val="004F56A3"/>
    <w:rsid w:val="004F682B"/>
    <w:rsid w:val="004F7B9A"/>
    <w:rsid w:val="004F7BC4"/>
    <w:rsid w:val="005014FF"/>
    <w:rsid w:val="00501819"/>
    <w:rsid w:val="00501D6E"/>
    <w:rsid w:val="00501DE1"/>
    <w:rsid w:val="00502D74"/>
    <w:rsid w:val="00502DCB"/>
    <w:rsid w:val="005030F8"/>
    <w:rsid w:val="0050397F"/>
    <w:rsid w:val="005039B9"/>
    <w:rsid w:val="00503C7B"/>
    <w:rsid w:val="00504DD9"/>
    <w:rsid w:val="00505034"/>
    <w:rsid w:val="005053FA"/>
    <w:rsid w:val="00505DAF"/>
    <w:rsid w:val="005065D4"/>
    <w:rsid w:val="005066A0"/>
    <w:rsid w:val="00506827"/>
    <w:rsid w:val="00506FF1"/>
    <w:rsid w:val="00507463"/>
    <w:rsid w:val="005074D9"/>
    <w:rsid w:val="00507620"/>
    <w:rsid w:val="0050764D"/>
    <w:rsid w:val="00507DDC"/>
    <w:rsid w:val="00507DFA"/>
    <w:rsid w:val="0051198A"/>
    <w:rsid w:val="00511BC5"/>
    <w:rsid w:val="00511BF0"/>
    <w:rsid w:val="00511F13"/>
    <w:rsid w:val="00511F60"/>
    <w:rsid w:val="00512074"/>
    <w:rsid w:val="00512974"/>
    <w:rsid w:val="00512AC2"/>
    <w:rsid w:val="00512D11"/>
    <w:rsid w:val="00512F84"/>
    <w:rsid w:val="00513809"/>
    <w:rsid w:val="00513937"/>
    <w:rsid w:val="00513941"/>
    <w:rsid w:val="00513992"/>
    <w:rsid w:val="00513B6C"/>
    <w:rsid w:val="00514380"/>
    <w:rsid w:val="0051439D"/>
    <w:rsid w:val="00514591"/>
    <w:rsid w:val="00514A5F"/>
    <w:rsid w:val="005155B8"/>
    <w:rsid w:val="00515B0C"/>
    <w:rsid w:val="00515CC7"/>
    <w:rsid w:val="00515D76"/>
    <w:rsid w:val="00515F77"/>
    <w:rsid w:val="0051642A"/>
    <w:rsid w:val="0051673C"/>
    <w:rsid w:val="00516741"/>
    <w:rsid w:val="00516BFC"/>
    <w:rsid w:val="00516CF6"/>
    <w:rsid w:val="00517058"/>
    <w:rsid w:val="005176E2"/>
    <w:rsid w:val="00517B7A"/>
    <w:rsid w:val="00517C16"/>
    <w:rsid w:val="00520F6E"/>
    <w:rsid w:val="0052153A"/>
    <w:rsid w:val="00521549"/>
    <w:rsid w:val="00521FA3"/>
    <w:rsid w:val="00522166"/>
    <w:rsid w:val="0052270A"/>
    <w:rsid w:val="005227AA"/>
    <w:rsid w:val="005227E2"/>
    <w:rsid w:val="00522C78"/>
    <w:rsid w:val="005231DA"/>
    <w:rsid w:val="005241ED"/>
    <w:rsid w:val="00524B7C"/>
    <w:rsid w:val="00525781"/>
    <w:rsid w:val="00525CAB"/>
    <w:rsid w:val="00525E04"/>
    <w:rsid w:val="00526094"/>
    <w:rsid w:val="005261CD"/>
    <w:rsid w:val="00526986"/>
    <w:rsid w:val="00526ABC"/>
    <w:rsid w:val="0052708A"/>
    <w:rsid w:val="00527116"/>
    <w:rsid w:val="00527256"/>
    <w:rsid w:val="005276E4"/>
    <w:rsid w:val="0052778F"/>
    <w:rsid w:val="00527EE7"/>
    <w:rsid w:val="00530420"/>
    <w:rsid w:val="00530F55"/>
    <w:rsid w:val="00532614"/>
    <w:rsid w:val="005326EC"/>
    <w:rsid w:val="00532D9F"/>
    <w:rsid w:val="00533419"/>
    <w:rsid w:val="0053370C"/>
    <w:rsid w:val="0053397C"/>
    <w:rsid w:val="00533DEF"/>
    <w:rsid w:val="00533ECC"/>
    <w:rsid w:val="005343B6"/>
    <w:rsid w:val="00534834"/>
    <w:rsid w:val="00535205"/>
    <w:rsid w:val="00535490"/>
    <w:rsid w:val="0053555C"/>
    <w:rsid w:val="00535F52"/>
    <w:rsid w:val="005363C7"/>
    <w:rsid w:val="0053676A"/>
    <w:rsid w:val="00536CF7"/>
    <w:rsid w:val="00536D22"/>
    <w:rsid w:val="00536EB3"/>
    <w:rsid w:val="005374FE"/>
    <w:rsid w:val="00537CD5"/>
    <w:rsid w:val="005401FB"/>
    <w:rsid w:val="005407EA"/>
    <w:rsid w:val="00540ACC"/>
    <w:rsid w:val="00540B48"/>
    <w:rsid w:val="00540FA6"/>
    <w:rsid w:val="00541078"/>
    <w:rsid w:val="00543502"/>
    <w:rsid w:val="00543D31"/>
    <w:rsid w:val="00543DBA"/>
    <w:rsid w:val="005453E0"/>
    <w:rsid w:val="00545AAE"/>
    <w:rsid w:val="005462D6"/>
    <w:rsid w:val="00546447"/>
    <w:rsid w:val="00546951"/>
    <w:rsid w:val="00547537"/>
    <w:rsid w:val="005478CD"/>
    <w:rsid w:val="00547C3A"/>
    <w:rsid w:val="00547D18"/>
    <w:rsid w:val="00547D3B"/>
    <w:rsid w:val="005503AE"/>
    <w:rsid w:val="00550F7D"/>
    <w:rsid w:val="00551339"/>
    <w:rsid w:val="00551558"/>
    <w:rsid w:val="005515B9"/>
    <w:rsid w:val="0055163D"/>
    <w:rsid w:val="00551912"/>
    <w:rsid w:val="00553241"/>
    <w:rsid w:val="00553242"/>
    <w:rsid w:val="005532F9"/>
    <w:rsid w:val="005536A2"/>
    <w:rsid w:val="00554757"/>
    <w:rsid w:val="005548BF"/>
    <w:rsid w:val="00554D50"/>
    <w:rsid w:val="00554E13"/>
    <w:rsid w:val="005550EC"/>
    <w:rsid w:val="00555CBC"/>
    <w:rsid w:val="00555E87"/>
    <w:rsid w:val="005562FC"/>
    <w:rsid w:val="00556996"/>
    <w:rsid w:val="00556AFA"/>
    <w:rsid w:val="00557A81"/>
    <w:rsid w:val="00557B9E"/>
    <w:rsid w:val="00560473"/>
    <w:rsid w:val="0056053B"/>
    <w:rsid w:val="005607A7"/>
    <w:rsid w:val="00561BBF"/>
    <w:rsid w:val="0056255F"/>
    <w:rsid w:val="0056261E"/>
    <w:rsid w:val="00562988"/>
    <w:rsid w:val="00562B17"/>
    <w:rsid w:val="00562DE8"/>
    <w:rsid w:val="00562FAD"/>
    <w:rsid w:val="00562FD8"/>
    <w:rsid w:val="00563BA0"/>
    <w:rsid w:val="00563EBE"/>
    <w:rsid w:val="00563F4F"/>
    <w:rsid w:val="00564111"/>
    <w:rsid w:val="00564DE1"/>
    <w:rsid w:val="0056543D"/>
    <w:rsid w:val="005657F5"/>
    <w:rsid w:val="00565A41"/>
    <w:rsid w:val="005669F9"/>
    <w:rsid w:val="00566F76"/>
    <w:rsid w:val="00567275"/>
    <w:rsid w:val="00567C0A"/>
    <w:rsid w:val="00570E6F"/>
    <w:rsid w:val="005710EF"/>
    <w:rsid w:val="0057299F"/>
    <w:rsid w:val="00572E45"/>
    <w:rsid w:val="00572F5F"/>
    <w:rsid w:val="005736A9"/>
    <w:rsid w:val="0057376E"/>
    <w:rsid w:val="00573AD7"/>
    <w:rsid w:val="0057418B"/>
    <w:rsid w:val="005747AA"/>
    <w:rsid w:val="00575374"/>
    <w:rsid w:val="00575525"/>
    <w:rsid w:val="005757D2"/>
    <w:rsid w:val="00575807"/>
    <w:rsid w:val="00575AB2"/>
    <w:rsid w:val="00575B58"/>
    <w:rsid w:val="00575DCC"/>
    <w:rsid w:val="00576867"/>
    <w:rsid w:val="00576C11"/>
    <w:rsid w:val="00576EF9"/>
    <w:rsid w:val="00576FBD"/>
    <w:rsid w:val="005770BC"/>
    <w:rsid w:val="00577166"/>
    <w:rsid w:val="00577344"/>
    <w:rsid w:val="00577453"/>
    <w:rsid w:val="0057797F"/>
    <w:rsid w:val="00577C03"/>
    <w:rsid w:val="005800E7"/>
    <w:rsid w:val="00580239"/>
    <w:rsid w:val="005802C5"/>
    <w:rsid w:val="00580636"/>
    <w:rsid w:val="0058184D"/>
    <w:rsid w:val="00581A8B"/>
    <w:rsid w:val="00581D4C"/>
    <w:rsid w:val="00581E93"/>
    <w:rsid w:val="005826F6"/>
    <w:rsid w:val="00582C68"/>
    <w:rsid w:val="005830B1"/>
    <w:rsid w:val="00583427"/>
    <w:rsid w:val="0058344C"/>
    <w:rsid w:val="0058366F"/>
    <w:rsid w:val="00583796"/>
    <w:rsid w:val="00583C72"/>
    <w:rsid w:val="0058449C"/>
    <w:rsid w:val="00584C8F"/>
    <w:rsid w:val="005850A7"/>
    <w:rsid w:val="005855E4"/>
    <w:rsid w:val="005856A0"/>
    <w:rsid w:val="00586565"/>
    <w:rsid w:val="00586621"/>
    <w:rsid w:val="00586899"/>
    <w:rsid w:val="0058766D"/>
    <w:rsid w:val="00587BD1"/>
    <w:rsid w:val="005906B9"/>
    <w:rsid w:val="00590785"/>
    <w:rsid w:val="00590A44"/>
    <w:rsid w:val="00591F70"/>
    <w:rsid w:val="005923FA"/>
    <w:rsid w:val="005935F3"/>
    <w:rsid w:val="00593618"/>
    <w:rsid w:val="00593E3B"/>
    <w:rsid w:val="005945E2"/>
    <w:rsid w:val="00594997"/>
    <w:rsid w:val="00594BCF"/>
    <w:rsid w:val="00594EEA"/>
    <w:rsid w:val="00595B25"/>
    <w:rsid w:val="00596305"/>
    <w:rsid w:val="00596BF2"/>
    <w:rsid w:val="0059752D"/>
    <w:rsid w:val="0059777A"/>
    <w:rsid w:val="00597C12"/>
    <w:rsid w:val="00597D1A"/>
    <w:rsid w:val="005A13AA"/>
    <w:rsid w:val="005A1A5E"/>
    <w:rsid w:val="005A35BE"/>
    <w:rsid w:val="005A384D"/>
    <w:rsid w:val="005A39B8"/>
    <w:rsid w:val="005A3CD2"/>
    <w:rsid w:val="005A4676"/>
    <w:rsid w:val="005A4834"/>
    <w:rsid w:val="005A52C1"/>
    <w:rsid w:val="005A5524"/>
    <w:rsid w:val="005A5CEA"/>
    <w:rsid w:val="005A5FF4"/>
    <w:rsid w:val="005A61F9"/>
    <w:rsid w:val="005A65AE"/>
    <w:rsid w:val="005A6E25"/>
    <w:rsid w:val="005A6F8C"/>
    <w:rsid w:val="005A6FD0"/>
    <w:rsid w:val="005A7F0B"/>
    <w:rsid w:val="005B025F"/>
    <w:rsid w:val="005B033E"/>
    <w:rsid w:val="005B0A0F"/>
    <w:rsid w:val="005B18BA"/>
    <w:rsid w:val="005B1CCA"/>
    <w:rsid w:val="005B23B3"/>
    <w:rsid w:val="005B2D14"/>
    <w:rsid w:val="005B2E69"/>
    <w:rsid w:val="005B301A"/>
    <w:rsid w:val="005B360A"/>
    <w:rsid w:val="005B3629"/>
    <w:rsid w:val="005B42EA"/>
    <w:rsid w:val="005B476E"/>
    <w:rsid w:val="005B4DFD"/>
    <w:rsid w:val="005B5AF5"/>
    <w:rsid w:val="005B6E1B"/>
    <w:rsid w:val="005B7734"/>
    <w:rsid w:val="005B7AF3"/>
    <w:rsid w:val="005C089C"/>
    <w:rsid w:val="005C0B30"/>
    <w:rsid w:val="005C0BF7"/>
    <w:rsid w:val="005C0DD1"/>
    <w:rsid w:val="005C0F0D"/>
    <w:rsid w:val="005C1288"/>
    <w:rsid w:val="005C137E"/>
    <w:rsid w:val="005C1877"/>
    <w:rsid w:val="005C21B8"/>
    <w:rsid w:val="005C2272"/>
    <w:rsid w:val="005C2E3D"/>
    <w:rsid w:val="005C2FCB"/>
    <w:rsid w:val="005C32AE"/>
    <w:rsid w:val="005C37A9"/>
    <w:rsid w:val="005C3CA0"/>
    <w:rsid w:val="005C3E4C"/>
    <w:rsid w:val="005C4229"/>
    <w:rsid w:val="005C48D2"/>
    <w:rsid w:val="005C5D6C"/>
    <w:rsid w:val="005C6436"/>
    <w:rsid w:val="005C6D4F"/>
    <w:rsid w:val="005C7426"/>
    <w:rsid w:val="005C76AE"/>
    <w:rsid w:val="005C7A6D"/>
    <w:rsid w:val="005C7BE1"/>
    <w:rsid w:val="005C7C0E"/>
    <w:rsid w:val="005C7E6A"/>
    <w:rsid w:val="005D0119"/>
    <w:rsid w:val="005D0321"/>
    <w:rsid w:val="005D0B4B"/>
    <w:rsid w:val="005D0C43"/>
    <w:rsid w:val="005D141B"/>
    <w:rsid w:val="005D1C6D"/>
    <w:rsid w:val="005D1C91"/>
    <w:rsid w:val="005D2060"/>
    <w:rsid w:val="005D33F3"/>
    <w:rsid w:val="005D3AAB"/>
    <w:rsid w:val="005D45E3"/>
    <w:rsid w:val="005D46FD"/>
    <w:rsid w:val="005D54AB"/>
    <w:rsid w:val="005D5A25"/>
    <w:rsid w:val="005D5ED3"/>
    <w:rsid w:val="005D609D"/>
    <w:rsid w:val="005D6294"/>
    <w:rsid w:val="005D6645"/>
    <w:rsid w:val="005D6739"/>
    <w:rsid w:val="005D689E"/>
    <w:rsid w:val="005D73C4"/>
    <w:rsid w:val="005D77B0"/>
    <w:rsid w:val="005D7D2F"/>
    <w:rsid w:val="005D7F92"/>
    <w:rsid w:val="005E0111"/>
    <w:rsid w:val="005E0624"/>
    <w:rsid w:val="005E0BB3"/>
    <w:rsid w:val="005E118D"/>
    <w:rsid w:val="005E16BF"/>
    <w:rsid w:val="005E28EE"/>
    <w:rsid w:val="005E2AD1"/>
    <w:rsid w:val="005E2FD5"/>
    <w:rsid w:val="005E34B4"/>
    <w:rsid w:val="005E37DB"/>
    <w:rsid w:val="005E3950"/>
    <w:rsid w:val="005E42A9"/>
    <w:rsid w:val="005E5100"/>
    <w:rsid w:val="005E5237"/>
    <w:rsid w:val="005E53BB"/>
    <w:rsid w:val="005E5797"/>
    <w:rsid w:val="005E59DF"/>
    <w:rsid w:val="005E626B"/>
    <w:rsid w:val="005E66DC"/>
    <w:rsid w:val="005E703A"/>
    <w:rsid w:val="005E7960"/>
    <w:rsid w:val="005E7D5D"/>
    <w:rsid w:val="005F0238"/>
    <w:rsid w:val="005F046C"/>
    <w:rsid w:val="005F051F"/>
    <w:rsid w:val="005F0635"/>
    <w:rsid w:val="005F1061"/>
    <w:rsid w:val="005F11CC"/>
    <w:rsid w:val="005F1438"/>
    <w:rsid w:val="005F1EB7"/>
    <w:rsid w:val="005F27A0"/>
    <w:rsid w:val="005F29E7"/>
    <w:rsid w:val="005F2D92"/>
    <w:rsid w:val="005F2DAE"/>
    <w:rsid w:val="005F2FB7"/>
    <w:rsid w:val="005F3056"/>
    <w:rsid w:val="005F30B6"/>
    <w:rsid w:val="005F32F6"/>
    <w:rsid w:val="005F3492"/>
    <w:rsid w:val="005F3FB2"/>
    <w:rsid w:val="005F447C"/>
    <w:rsid w:val="005F4506"/>
    <w:rsid w:val="005F4E5C"/>
    <w:rsid w:val="005F4FF7"/>
    <w:rsid w:val="005F52D4"/>
    <w:rsid w:val="005F5FFD"/>
    <w:rsid w:val="005F64FD"/>
    <w:rsid w:val="005F670B"/>
    <w:rsid w:val="005F704A"/>
    <w:rsid w:val="005F7652"/>
    <w:rsid w:val="00600157"/>
    <w:rsid w:val="00600703"/>
    <w:rsid w:val="00600707"/>
    <w:rsid w:val="00600E06"/>
    <w:rsid w:val="00600F0A"/>
    <w:rsid w:val="006010A4"/>
    <w:rsid w:val="0060153B"/>
    <w:rsid w:val="00601551"/>
    <w:rsid w:val="0060179C"/>
    <w:rsid w:val="00601FC3"/>
    <w:rsid w:val="00602B96"/>
    <w:rsid w:val="00602FDD"/>
    <w:rsid w:val="00603B61"/>
    <w:rsid w:val="00603D14"/>
    <w:rsid w:val="00604472"/>
    <w:rsid w:val="00604F74"/>
    <w:rsid w:val="00604FBB"/>
    <w:rsid w:val="006050FE"/>
    <w:rsid w:val="006057C8"/>
    <w:rsid w:val="00606527"/>
    <w:rsid w:val="00606559"/>
    <w:rsid w:val="006071BD"/>
    <w:rsid w:val="0060736A"/>
    <w:rsid w:val="006102FE"/>
    <w:rsid w:val="0061059A"/>
    <w:rsid w:val="00610642"/>
    <w:rsid w:val="006113BD"/>
    <w:rsid w:val="00611938"/>
    <w:rsid w:val="00611D9C"/>
    <w:rsid w:val="0061264F"/>
    <w:rsid w:val="00612998"/>
    <w:rsid w:val="00612C81"/>
    <w:rsid w:val="00612E0D"/>
    <w:rsid w:val="00612EF0"/>
    <w:rsid w:val="00613424"/>
    <w:rsid w:val="00615268"/>
    <w:rsid w:val="00615A85"/>
    <w:rsid w:val="00615B30"/>
    <w:rsid w:val="00615BC7"/>
    <w:rsid w:val="00615F55"/>
    <w:rsid w:val="00616127"/>
    <w:rsid w:val="00616887"/>
    <w:rsid w:val="00616932"/>
    <w:rsid w:val="00617091"/>
    <w:rsid w:val="006173F4"/>
    <w:rsid w:val="00617D9F"/>
    <w:rsid w:val="00620021"/>
    <w:rsid w:val="006208DB"/>
    <w:rsid w:val="006217EE"/>
    <w:rsid w:val="0062196B"/>
    <w:rsid w:val="00621FDF"/>
    <w:rsid w:val="00622DB4"/>
    <w:rsid w:val="00623143"/>
    <w:rsid w:val="006242C8"/>
    <w:rsid w:val="00625991"/>
    <w:rsid w:val="00626A8B"/>
    <w:rsid w:val="00626C86"/>
    <w:rsid w:val="00627331"/>
    <w:rsid w:val="00627775"/>
    <w:rsid w:val="00627BFC"/>
    <w:rsid w:val="006306A0"/>
    <w:rsid w:val="00631297"/>
    <w:rsid w:val="006312AF"/>
    <w:rsid w:val="00631E58"/>
    <w:rsid w:val="0063244F"/>
    <w:rsid w:val="00632F2A"/>
    <w:rsid w:val="006336E3"/>
    <w:rsid w:val="00633B51"/>
    <w:rsid w:val="00633ED0"/>
    <w:rsid w:val="0063471B"/>
    <w:rsid w:val="006352E4"/>
    <w:rsid w:val="006355F9"/>
    <w:rsid w:val="00635A43"/>
    <w:rsid w:val="00636BD7"/>
    <w:rsid w:val="0063704A"/>
    <w:rsid w:val="00637113"/>
    <w:rsid w:val="00637B59"/>
    <w:rsid w:val="00637EB7"/>
    <w:rsid w:val="00637F5F"/>
    <w:rsid w:val="006417D5"/>
    <w:rsid w:val="0064223C"/>
    <w:rsid w:val="00642534"/>
    <w:rsid w:val="006427BC"/>
    <w:rsid w:val="006427DD"/>
    <w:rsid w:val="00642897"/>
    <w:rsid w:val="006435AE"/>
    <w:rsid w:val="0064372A"/>
    <w:rsid w:val="00643931"/>
    <w:rsid w:val="00643BD7"/>
    <w:rsid w:val="00643C5C"/>
    <w:rsid w:val="00643E2A"/>
    <w:rsid w:val="006441F1"/>
    <w:rsid w:val="00644510"/>
    <w:rsid w:val="006445B1"/>
    <w:rsid w:val="0064495C"/>
    <w:rsid w:val="00645A1D"/>
    <w:rsid w:val="006462DF"/>
    <w:rsid w:val="00646C0E"/>
    <w:rsid w:val="00646D68"/>
    <w:rsid w:val="006470C4"/>
    <w:rsid w:val="0064778F"/>
    <w:rsid w:val="00647B21"/>
    <w:rsid w:val="00647E40"/>
    <w:rsid w:val="00650ABB"/>
    <w:rsid w:val="00650FBD"/>
    <w:rsid w:val="006517EE"/>
    <w:rsid w:val="00651E2C"/>
    <w:rsid w:val="00652A81"/>
    <w:rsid w:val="00652A8A"/>
    <w:rsid w:val="006530F3"/>
    <w:rsid w:val="0065425A"/>
    <w:rsid w:val="00654803"/>
    <w:rsid w:val="00655146"/>
    <w:rsid w:val="00655E4D"/>
    <w:rsid w:val="00655F06"/>
    <w:rsid w:val="00656023"/>
    <w:rsid w:val="006566DE"/>
    <w:rsid w:val="00657BDB"/>
    <w:rsid w:val="00657E18"/>
    <w:rsid w:val="00660205"/>
    <w:rsid w:val="0066038C"/>
    <w:rsid w:val="00660BA6"/>
    <w:rsid w:val="00660EAB"/>
    <w:rsid w:val="00660ED2"/>
    <w:rsid w:val="00661506"/>
    <w:rsid w:val="0066182B"/>
    <w:rsid w:val="00661929"/>
    <w:rsid w:val="00661A4A"/>
    <w:rsid w:val="0066283D"/>
    <w:rsid w:val="00662A13"/>
    <w:rsid w:val="00662B05"/>
    <w:rsid w:val="00663867"/>
    <w:rsid w:val="006643F8"/>
    <w:rsid w:val="0066479D"/>
    <w:rsid w:val="00665803"/>
    <w:rsid w:val="00666867"/>
    <w:rsid w:val="0066767B"/>
    <w:rsid w:val="006677C9"/>
    <w:rsid w:val="006701BD"/>
    <w:rsid w:val="0067126C"/>
    <w:rsid w:val="00671F56"/>
    <w:rsid w:val="0067222A"/>
    <w:rsid w:val="00672B9A"/>
    <w:rsid w:val="006736E9"/>
    <w:rsid w:val="0067399C"/>
    <w:rsid w:val="00674217"/>
    <w:rsid w:val="006748F5"/>
    <w:rsid w:val="006751DE"/>
    <w:rsid w:val="0067560E"/>
    <w:rsid w:val="00675710"/>
    <w:rsid w:val="0067589A"/>
    <w:rsid w:val="00675D29"/>
    <w:rsid w:val="006765F6"/>
    <w:rsid w:val="00676629"/>
    <w:rsid w:val="006768F6"/>
    <w:rsid w:val="0067795D"/>
    <w:rsid w:val="00680737"/>
    <w:rsid w:val="00680C53"/>
    <w:rsid w:val="00680CC7"/>
    <w:rsid w:val="00680D40"/>
    <w:rsid w:val="006814F7"/>
    <w:rsid w:val="00681511"/>
    <w:rsid w:val="006821A8"/>
    <w:rsid w:val="00682E2D"/>
    <w:rsid w:val="00683CE0"/>
    <w:rsid w:val="00683D6A"/>
    <w:rsid w:val="00684074"/>
    <w:rsid w:val="0068480C"/>
    <w:rsid w:val="0068520D"/>
    <w:rsid w:val="00686AAA"/>
    <w:rsid w:val="00686F8A"/>
    <w:rsid w:val="00687141"/>
    <w:rsid w:val="00687926"/>
    <w:rsid w:val="00687BD2"/>
    <w:rsid w:val="006905D3"/>
    <w:rsid w:val="006906E8"/>
    <w:rsid w:val="0069183B"/>
    <w:rsid w:val="00691C5D"/>
    <w:rsid w:val="00692817"/>
    <w:rsid w:val="00692C7C"/>
    <w:rsid w:val="00693774"/>
    <w:rsid w:val="006939C9"/>
    <w:rsid w:val="00693A04"/>
    <w:rsid w:val="00693FBE"/>
    <w:rsid w:val="006942DE"/>
    <w:rsid w:val="006950CD"/>
    <w:rsid w:val="006950D7"/>
    <w:rsid w:val="006955BF"/>
    <w:rsid w:val="00695B7B"/>
    <w:rsid w:val="006962C2"/>
    <w:rsid w:val="00696363"/>
    <w:rsid w:val="00696367"/>
    <w:rsid w:val="00696ACB"/>
    <w:rsid w:val="00696BCF"/>
    <w:rsid w:val="00696D57"/>
    <w:rsid w:val="006971BF"/>
    <w:rsid w:val="00697208"/>
    <w:rsid w:val="006975CE"/>
    <w:rsid w:val="00697C88"/>
    <w:rsid w:val="00697DD8"/>
    <w:rsid w:val="006A139D"/>
    <w:rsid w:val="006A1B3B"/>
    <w:rsid w:val="006A2594"/>
    <w:rsid w:val="006A26BD"/>
    <w:rsid w:val="006A2A6D"/>
    <w:rsid w:val="006A2E4D"/>
    <w:rsid w:val="006A3137"/>
    <w:rsid w:val="006A3191"/>
    <w:rsid w:val="006A34C7"/>
    <w:rsid w:val="006A3F61"/>
    <w:rsid w:val="006A4165"/>
    <w:rsid w:val="006A4237"/>
    <w:rsid w:val="006A4796"/>
    <w:rsid w:val="006A47B0"/>
    <w:rsid w:val="006A4C2C"/>
    <w:rsid w:val="006A51DF"/>
    <w:rsid w:val="006A6931"/>
    <w:rsid w:val="006A6D05"/>
    <w:rsid w:val="006A6FE2"/>
    <w:rsid w:val="006A753F"/>
    <w:rsid w:val="006A77FD"/>
    <w:rsid w:val="006A7A3C"/>
    <w:rsid w:val="006A7AB3"/>
    <w:rsid w:val="006A7B9F"/>
    <w:rsid w:val="006A7E5E"/>
    <w:rsid w:val="006B00A9"/>
    <w:rsid w:val="006B04BA"/>
    <w:rsid w:val="006B0A6F"/>
    <w:rsid w:val="006B0AA2"/>
    <w:rsid w:val="006B0E3E"/>
    <w:rsid w:val="006B103F"/>
    <w:rsid w:val="006B1282"/>
    <w:rsid w:val="006B17C5"/>
    <w:rsid w:val="006B17E0"/>
    <w:rsid w:val="006B1E65"/>
    <w:rsid w:val="006B2252"/>
    <w:rsid w:val="006B23BA"/>
    <w:rsid w:val="006B2B02"/>
    <w:rsid w:val="006B2D69"/>
    <w:rsid w:val="006B39FF"/>
    <w:rsid w:val="006B417E"/>
    <w:rsid w:val="006B64A9"/>
    <w:rsid w:val="006B6651"/>
    <w:rsid w:val="006B6819"/>
    <w:rsid w:val="006B6A7D"/>
    <w:rsid w:val="006B6A9B"/>
    <w:rsid w:val="006B6DA8"/>
    <w:rsid w:val="006B729E"/>
    <w:rsid w:val="006B73CB"/>
    <w:rsid w:val="006B76AC"/>
    <w:rsid w:val="006C03F4"/>
    <w:rsid w:val="006C0408"/>
    <w:rsid w:val="006C0AED"/>
    <w:rsid w:val="006C172F"/>
    <w:rsid w:val="006C1B88"/>
    <w:rsid w:val="006C1D02"/>
    <w:rsid w:val="006C200A"/>
    <w:rsid w:val="006C250E"/>
    <w:rsid w:val="006C35B4"/>
    <w:rsid w:val="006C37C1"/>
    <w:rsid w:val="006C3933"/>
    <w:rsid w:val="006C3A33"/>
    <w:rsid w:val="006C5870"/>
    <w:rsid w:val="006C635F"/>
    <w:rsid w:val="006C69D7"/>
    <w:rsid w:val="006C6AEB"/>
    <w:rsid w:val="006C6BCE"/>
    <w:rsid w:val="006C7110"/>
    <w:rsid w:val="006C7D43"/>
    <w:rsid w:val="006D0115"/>
    <w:rsid w:val="006D0743"/>
    <w:rsid w:val="006D09C9"/>
    <w:rsid w:val="006D1624"/>
    <w:rsid w:val="006D27C5"/>
    <w:rsid w:val="006D3505"/>
    <w:rsid w:val="006D3D0E"/>
    <w:rsid w:val="006D4880"/>
    <w:rsid w:val="006D4B3C"/>
    <w:rsid w:val="006D5205"/>
    <w:rsid w:val="006D54BF"/>
    <w:rsid w:val="006D5918"/>
    <w:rsid w:val="006D5D7C"/>
    <w:rsid w:val="006D5E2C"/>
    <w:rsid w:val="006D69C5"/>
    <w:rsid w:val="006D6C06"/>
    <w:rsid w:val="006D6C0E"/>
    <w:rsid w:val="006D6D5C"/>
    <w:rsid w:val="006D7354"/>
    <w:rsid w:val="006D7AE7"/>
    <w:rsid w:val="006D7D0D"/>
    <w:rsid w:val="006E09C3"/>
    <w:rsid w:val="006E0B29"/>
    <w:rsid w:val="006E0E4D"/>
    <w:rsid w:val="006E108D"/>
    <w:rsid w:val="006E1BDD"/>
    <w:rsid w:val="006E3346"/>
    <w:rsid w:val="006E3FCC"/>
    <w:rsid w:val="006E44F8"/>
    <w:rsid w:val="006E457B"/>
    <w:rsid w:val="006E4976"/>
    <w:rsid w:val="006E54F8"/>
    <w:rsid w:val="006E5657"/>
    <w:rsid w:val="006E5DD9"/>
    <w:rsid w:val="006E6B22"/>
    <w:rsid w:val="006E6F4A"/>
    <w:rsid w:val="006E7915"/>
    <w:rsid w:val="006E7C15"/>
    <w:rsid w:val="006F033B"/>
    <w:rsid w:val="006F06F6"/>
    <w:rsid w:val="006F0C0E"/>
    <w:rsid w:val="006F0EEB"/>
    <w:rsid w:val="006F10C4"/>
    <w:rsid w:val="006F1A3B"/>
    <w:rsid w:val="006F1CDA"/>
    <w:rsid w:val="006F1FBE"/>
    <w:rsid w:val="006F206B"/>
    <w:rsid w:val="006F2608"/>
    <w:rsid w:val="006F260A"/>
    <w:rsid w:val="006F2CEC"/>
    <w:rsid w:val="006F2D55"/>
    <w:rsid w:val="006F437B"/>
    <w:rsid w:val="006F4410"/>
    <w:rsid w:val="006F50DF"/>
    <w:rsid w:val="006F55F5"/>
    <w:rsid w:val="006F5B42"/>
    <w:rsid w:val="006F6042"/>
    <w:rsid w:val="006F648E"/>
    <w:rsid w:val="006F6BA4"/>
    <w:rsid w:val="006F6F08"/>
    <w:rsid w:val="006F6FA6"/>
    <w:rsid w:val="006F7485"/>
    <w:rsid w:val="006F752B"/>
    <w:rsid w:val="006F7795"/>
    <w:rsid w:val="006F7E43"/>
    <w:rsid w:val="0070048D"/>
    <w:rsid w:val="0070048E"/>
    <w:rsid w:val="00700591"/>
    <w:rsid w:val="00700814"/>
    <w:rsid w:val="00700FE0"/>
    <w:rsid w:val="00701098"/>
    <w:rsid w:val="00701127"/>
    <w:rsid w:val="0070150B"/>
    <w:rsid w:val="00701B01"/>
    <w:rsid w:val="00701D8E"/>
    <w:rsid w:val="00702126"/>
    <w:rsid w:val="007021C3"/>
    <w:rsid w:val="00702A81"/>
    <w:rsid w:val="0070335A"/>
    <w:rsid w:val="007033F4"/>
    <w:rsid w:val="00703407"/>
    <w:rsid w:val="00703454"/>
    <w:rsid w:val="00703AE2"/>
    <w:rsid w:val="007042D8"/>
    <w:rsid w:val="007043E0"/>
    <w:rsid w:val="00704EF3"/>
    <w:rsid w:val="00705947"/>
    <w:rsid w:val="00705C17"/>
    <w:rsid w:val="00705C25"/>
    <w:rsid w:val="00705F1C"/>
    <w:rsid w:val="00706278"/>
    <w:rsid w:val="00706669"/>
    <w:rsid w:val="00706705"/>
    <w:rsid w:val="00707232"/>
    <w:rsid w:val="0070762E"/>
    <w:rsid w:val="00707EB6"/>
    <w:rsid w:val="0071004B"/>
    <w:rsid w:val="0071010B"/>
    <w:rsid w:val="00710ACC"/>
    <w:rsid w:val="00711BE6"/>
    <w:rsid w:val="007127D1"/>
    <w:rsid w:val="00712EC1"/>
    <w:rsid w:val="007131C5"/>
    <w:rsid w:val="00713CED"/>
    <w:rsid w:val="00713D7A"/>
    <w:rsid w:val="00714992"/>
    <w:rsid w:val="00714BCC"/>
    <w:rsid w:val="00715258"/>
    <w:rsid w:val="007156BC"/>
    <w:rsid w:val="00715BD4"/>
    <w:rsid w:val="00715CCD"/>
    <w:rsid w:val="007167C0"/>
    <w:rsid w:val="00716E9F"/>
    <w:rsid w:val="007205E3"/>
    <w:rsid w:val="00720876"/>
    <w:rsid w:val="00720E04"/>
    <w:rsid w:val="00721F2B"/>
    <w:rsid w:val="00723271"/>
    <w:rsid w:val="007251D4"/>
    <w:rsid w:val="00725B62"/>
    <w:rsid w:val="007261FD"/>
    <w:rsid w:val="00726FBB"/>
    <w:rsid w:val="007271F6"/>
    <w:rsid w:val="00727297"/>
    <w:rsid w:val="00727494"/>
    <w:rsid w:val="007278B8"/>
    <w:rsid w:val="007279E9"/>
    <w:rsid w:val="007306E3"/>
    <w:rsid w:val="00730737"/>
    <w:rsid w:val="00730881"/>
    <w:rsid w:val="00730DCD"/>
    <w:rsid w:val="00731AB0"/>
    <w:rsid w:val="00731C26"/>
    <w:rsid w:val="00731DE4"/>
    <w:rsid w:val="00731EE0"/>
    <w:rsid w:val="007321EC"/>
    <w:rsid w:val="00732B95"/>
    <w:rsid w:val="00733033"/>
    <w:rsid w:val="007337E9"/>
    <w:rsid w:val="00733B22"/>
    <w:rsid w:val="00734801"/>
    <w:rsid w:val="007348E4"/>
    <w:rsid w:val="00734A00"/>
    <w:rsid w:val="00734AB5"/>
    <w:rsid w:val="00734BB8"/>
    <w:rsid w:val="007354F1"/>
    <w:rsid w:val="00735A57"/>
    <w:rsid w:val="00735E51"/>
    <w:rsid w:val="007360D9"/>
    <w:rsid w:val="00736DFE"/>
    <w:rsid w:val="00736E27"/>
    <w:rsid w:val="00736F5F"/>
    <w:rsid w:val="00737C65"/>
    <w:rsid w:val="0074014C"/>
    <w:rsid w:val="00740E02"/>
    <w:rsid w:val="00740FCF"/>
    <w:rsid w:val="0074100B"/>
    <w:rsid w:val="00741229"/>
    <w:rsid w:val="00741450"/>
    <w:rsid w:val="007414F7"/>
    <w:rsid w:val="007416AE"/>
    <w:rsid w:val="00743094"/>
    <w:rsid w:val="0074320F"/>
    <w:rsid w:val="007433A9"/>
    <w:rsid w:val="00743461"/>
    <w:rsid w:val="007434FE"/>
    <w:rsid w:val="00743A70"/>
    <w:rsid w:val="00743AE0"/>
    <w:rsid w:val="00743B41"/>
    <w:rsid w:val="00743E22"/>
    <w:rsid w:val="00743FF0"/>
    <w:rsid w:val="00744129"/>
    <w:rsid w:val="0074465A"/>
    <w:rsid w:val="007448FF"/>
    <w:rsid w:val="00745288"/>
    <w:rsid w:val="00745305"/>
    <w:rsid w:val="0074549F"/>
    <w:rsid w:val="00745619"/>
    <w:rsid w:val="00745959"/>
    <w:rsid w:val="00745A3F"/>
    <w:rsid w:val="00746063"/>
    <w:rsid w:val="00746B86"/>
    <w:rsid w:val="00746E56"/>
    <w:rsid w:val="00746F78"/>
    <w:rsid w:val="00747117"/>
    <w:rsid w:val="007503CA"/>
    <w:rsid w:val="00750D1D"/>
    <w:rsid w:val="00751624"/>
    <w:rsid w:val="00751F5A"/>
    <w:rsid w:val="0075220F"/>
    <w:rsid w:val="00752A9E"/>
    <w:rsid w:val="00752FD0"/>
    <w:rsid w:val="00753125"/>
    <w:rsid w:val="007532E3"/>
    <w:rsid w:val="00753685"/>
    <w:rsid w:val="007537AD"/>
    <w:rsid w:val="00753B8B"/>
    <w:rsid w:val="00753C5A"/>
    <w:rsid w:val="00753F59"/>
    <w:rsid w:val="00754784"/>
    <w:rsid w:val="00754C1B"/>
    <w:rsid w:val="00755330"/>
    <w:rsid w:val="00755BF7"/>
    <w:rsid w:val="007564FE"/>
    <w:rsid w:val="00756719"/>
    <w:rsid w:val="00756A03"/>
    <w:rsid w:val="00756A82"/>
    <w:rsid w:val="00756CB1"/>
    <w:rsid w:val="00757577"/>
    <w:rsid w:val="0075790B"/>
    <w:rsid w:val="00757C6A"/>
    <w:rsid w:val="00760222"/>
    <w:rsid w:val="007607DB"/>
    <w:rsid w:val="007610A6"/>
    <w:rsid w:val="0076163B"/>
    <w:rsid w:val="007616B1"/>
    <w:rsid w:val="00761A2E"/>
    <w:rsid w:val="00761D7C"/>
    <w:rsid w:val="00761F96"/>
    <w:rsid w:val="007622CD"/>
    <w:rsid w:val="00762337"/>
    <w:rsid w:val="0076335F"/>
    <w:rsid w:val="00763B46"/>
    <w:rsid w:val="00763F7E"/>
    <w:rsid w:val="00765125"/>
    <w:rsid w:val="007651BE"/>
    <w:rsid w:val="0076576E"/>
    <w:rsid w:val="00765DCB"/>
    <w:rsid w:val="00765E2D"/>
    <w:rsid w:val="00766705"/>
    <w:rsid w:val="00767002"/>
    <w:rsid w:val="00767114"/>
    <w:rsid w:val="00767321"/>
    <w:rsid w:val="00767377"/>
    <w:rsid w:val="00767BE0"/>
    <w:rsid w:val="00770090"/>
    <w:rsid w:val="007708B3"/>
    <w:rsid w:val="0077097B"/>
    <w:rsid w:val="0077098D"/>
    <w:rsid w:val="00770AAD"/>
    <w:rsid w:val="0077125C"/>
    <w:rsid w:val="00772B0A"/>
    <w:rsid w:val="00772BF0"/>
    <w:rsid w:val="00772CE1"/>
    <w:rsid w:val="00772D7C"/>
    <w:rsid w:val="00774327"/>
    <w:rsid w:val="007749D0"/>
    <w:rsid w:val="00774F0E"/>
    <w:rsid w:val="0077537D"/>
    <w:rsid w:val="00775436"/>
    <w:rsid w:val="00775482"/>
    <w:rsid w:val="0077572B"/>
    <w:rsid w:val="00775B92"/>
    <w:rsid w:val="00775F78"/>
    <w:rsid w:val="0077648B"/>
    <w:rsid w:val="007766AC"/>
    <w:rsid w:val="00776C1B"/>
    <w:rsid w:val="00777792"/>
    <w:rsid w:val="00777D90"/>
    <w:rsid w:val="00780429"/>
    <w:rsid w:val="007807D0"/>
    <w:rsid w:val="00780B3F"/>
    <w:rsid w:val="00780C18"/>
    <w:rsid w:val="00780D6E"/>
    <w:rsid w:val="00781580"/>
    <w:rsid w:val="00781666"/>
    <w:rsid w:val="00781A62"/>
    <w:rsid w:val="00782632"/>
    <w:rsid w:val="007832E7"/>
    <w:rsid w:val="0078397F"/>
    <w:rsid w:val="00784946"/>
    <w:rsid w:val="007852D5"/>
    <w:rsid w:val="00785958"/>
    <w:rsid w:val="00785D01"/>
    <w:rsid w:val="00786AA0"/>
    <w:rsid w:val="00786ED6"/>
    <w:rsid w:val="0078730A"/>
    <w:rsid w:val="0078765E"/>
    <w:rsid w:val="0078794C"/>
    <w:rsid w:val="007908B3"/>
    <w:rsid w:val="0079106A"/>
    <w:rsid w:val="00791199"/>
    <w:rsid w:val="007913F0"/>
    <w:rsid w:val="007919F5"/>
    <w:rsid w:val="007923A2"/>
    <w:rsid w:val="00793700"/>
    <w:rsid w:val="007940C9"/>
    <w:rsid w:val="0079413A"/>
    <w:rsid w:val="007942CA"/>
    <w:rsid w:val="007949BD"/>
    <w:rsid w:val="007958CA"/>
    <w:rsid w:val="007976C9"/>
    <w:rsid w:val="007A0022"/>
    <w:rsid w:val="007A009E"/>
    <w:rsid w:val="007A0824"/>
    <w:rsid w:val="007A0CEB"/>
    <w:rsid w:val="007A0F56"/>
    <w:rsid w:val="007A15E5"/>
    <w:rsid w:val="007A1676"/>
    <w:rsid w:val="007A259B"/>
    <w:rsid w:val="007A2873"/>
    <w:rsid w:val="007A2ED3"/>
    <w:rsid w:val="007A3017"/>
    <w:rsid w:val="007A3B0B"/>
    <w:rsid w:val="007A3C9F"/>
    <w:rsid w:val="007A46BB"/>
    <w:rsid w:val="007A47A0"/>
    <w:rsid w:val="007A4B92"/>
    <w:rsid w:val="007A4EEB"/>
    <w:rsid w:val="007A592B"/>
    <w:rsid w:val="007A6321"/>
    <w:rsid w:val="007A6452"/>
    <w:rsid w:val="007A6B9D"/>
    <w:rsid w:val="007A7616"/>
    <w:rsid w:val="007A7CC1"/>
    <w:rsid w:val="007B0132"/>
    <w:rsid w:val="007B03EC"/>
    <w:rsid w:val="007B13EC"/>
    <w:rsid w:val="007B1882"/>
    <w:rsid w:val="007B1CA1"/>
    <w:rsid w:val="007B2016"/>
    <w:rsid w:val="007B20A2"/>
    <w:rsid w:val="007B2534"/>
    <w:rsid w:val="007B3B29"/>
    <w:rsid w:val="007B3C33"/>
    <w:rsid w:val="007B443A"/>
    <w:rsid w:val="007B55B3"/>
    <w:rsid w:val="007B5944"/>
    <w:rsid w:val="007B59FB"/>
    <w:rsid w:val="007B6950"/>
    <w:rsid w:val="007B74B8"/>
    <w:rsid w:val="007B772A"/>
    <w:rsid w:val="007B78CA"/>
    <w:rsid w:val="007B79D1"/>
    <w:rsid w:val="007B7FD0"/>
    <w:rsid w:val="007C11D5"/>
    <w:rsid w:val="007C1C86"/>
    <w:rsid w:val="007C242C"/>
    <w:rsid w:val="007C2BA9"/>
    <w:rsid w:val="007C303D"/>
    <w:rsid w:val="007C33FB"/>
    <w:rsid w:val="007C3431"/>
    <w:rsid w:val="007C3BAB"/>
    <w:rsid w:val="007C3DB9"/>
    <w:rsid w:val="007C4698"/>
    <w:rsid w:val="007C4951"/>
    <w:rsid w:val="007C5262"/>
    <w:rsid w:val="007C64E1"/>
    <w:rsid w:val="007C65C0"/>
    <w:rsid w:val="007C65E3"/>
    <w:rsid w:val="007C6708"/>
    <w:rsid w:val="007C70ED"/>
    <w:rsid w:val="007C789B"/>
    <w:rsid w:val="007C7907"/>
    <w:rsid w:val="007D0402"/>
    <w:rsid w:val="007D0CB8"/>
    <w:rsid w:val="007D0F00"/>
    <w:rsid w:val="007D11FE"/>
    <w:rsid w:val="007D12EC"/>
    <w:rsid w:val="007D19B8"/>
    <w:rsid w:val="007D1D07"/>
    <w:rsid w:val="007D21EB"/>
    <w:rsid w:val="007D2568"/>
    <w:rsid w:val="007D25F5"/>
    <w:rsid w:val="007D3057"/>
    <w:rsid w:val="007D3502"/>
    <w:rsid w:val="007D369B"/>
    <w:rsid w:val="007D4815"/>
    <w:rsid w:val="007D4FB6"/>
    <w:rsid w:val="007D5307"/>
    <w:rsid w:val="007D59E3"/>
    <w:rsid w:val="007D5D7E"/>
    <w:rsid w:val="007D5F88"/>
    <w:rsid w:val="007D6A60"/>
    <w:rsid w:val="007D7259"/>
    <w:rsid w:val="007E03E8"/>
    <w:rsid w:val="007E1E8E"/>
    <w:rsid w:val="007E2286"/>
    <w:rsid w:val="007E2E9A"/>
    <w:rsid w:val="007E3158"/>
    <w:rsid w:val="007E3173"/>
    <w:rsid w:val="007E4365"/>
    <w:rsid w:val="007E4E84"/>
    <w:rsid w:val="007E4F13"/>
    <w:rsid w:val="007E5BF5"/>
    <w:rsid w:val="007E5EE8"/>
    <w:rsid w:val="007E5F8C"/>
    <w:rsid w:val="007E6136"/>
    <w:rsid w:val="007E63E7"/>
    <w:rsid w:val="007E68BE"/>
    <w:rsid w:val="007E6B26"/>
    <w:rsid w:val="007E6BC4"/>
    <w:rsid w:val="007E6CB2"/>
    <w:rsid w:val="007E6E1C"/>
    <w:rsid w:val="007E7042"/>
    <w:rsid w:val="007E77FA"/>
    <w:rsid w:val="007E7DA5"/>
    <w:rsid w:val="007E7DD3"/>
    <w:rsid w:val="007F02AE"/>
    <w:rsid w:val="007F0467"/>
    <w:rsid w:val="007F064A"/>
    <w:rsid w:val="007F06C2"/>
    <w:rsid w:val="007F1020"/>
    <w:rsid w:val="007F110D"/>
    <w:rsid w:val="007F19B7"/>
    <w:rsid w:val="007F19C7"/>
    <w:rsid w:val="007F1DFE"/>
    <w:rsid w:val="007F2381"/>
    <w:rsid w:val="007F3073"/>
    <w:rsid w:val="007F3E85"/>
    <w:rsid w:val="007F430F"/>
    <w:rsid w:val="007F498A"/>
    <w:rsid w:val="007F4ADB"/>
    <w:rsid w:val="007F4B22"/>
    <w:rsid w:val="007F5441"/>
    <w:rsid w:val="007F56A3"/>
    <w:rsid w:val="007F60EE"/>
    <w:rsid w:val="007F626A"/>
    <w:rsid w:val="007F62F4"/>
    <w:rsid w:val="007F6352"/>
    <w:rsid w:val="007F7C25"/>
    <w:rsid w:val="00800BAB"/>
    <w:rsid w:val="00800C7E"/>
    <w:rsid w:val="00801D6D"/>
    <w:rsid w:val="00801E97"/>
    <w:rsid w:val="00802221"/>
    <w:rsid w:val="00802255"/>
    <w:rsid w:val="008023FD"/>
    <w:rsid w:val="008024C0"/>
    <w:rsid w:val="008025E0"/>
    <w:rsid w:val="00802ACD"/>
    <w:rsid w:val="0080396E"/>
    <w:rsid w:val="00803A9F"/>
    <w:rsid w:val="00804C12"/>
    <w:rsid w:val="00805CDD"/>
    <w:rsid w:val="0080611D"/>
    <w:rsid w:val="00806F32"/>
    <w:rsid w:val="00806F67"/>
    <w:rsid w:val="0080702C"/>
    <w:rsid w:val="0080736A"/>
    <w:rsid w:val="00807536"/>
    <w:rsid w:val="00807987"/>
    <w:rsid w:val="00807B97"/>
    <w:rsid w:val="008102E6"/>
    <w:rsid w:val="008104D4"/>
    <w:rsid w:val="00810F29"/>
    <w:rsid w:val="00810F6F"/>
    <w:rsid w:val="00811066"/>
    <w:rsid w:val="0081161F"/>
    <w:rsid w:val="00811773"/>
    <w:rsid w:val="0081253A"/>
    <w:rsid w:val="00812568"/>
    <w:rsid w:val="0081270A"/>
    <w:rsid w:val="00812907"/>
    <w:rsid w:val="00812B58"/>
    <w:rsid w:val="0081430A"/>
    <w:rsid w:val="0081441C"/>
    <w:rsid w:val="00814487"/>
    <w:rsid w:val="00814EAF"/>
    <w:rsid w:val="00815002"/>
    <w:rsid w:val="008155EF"/>
    <w:rsid w:val="00815972"/>
    <w:rsid w:val="00815B62"/>
    <w:rsid w:val="00815FF9"/>
    <w:rsid w:val="00815FFF"/>
    <w:rsid w:val="00820CAF"/>
    <w:rsid w:val="00820DCD"/>
    <w:rsid w:val="00820FA3"/>
    <w:rsid w:val="0082125C"/>
    <w:rsid w:val="00821F22"/>
    <w:rsid w:val="008226AB"/>
    <w:rsid w:val="0082276B"/>
    <w:rsid w:val="00822D27"/>
    <w:rsid w:val="00822DA7"/>
    <w:rsid w:val="008233E1"/>
    <w:rsid w:val="00824439"/>
    <w:rsid w:val="00824F89"/>
    <w:rsid w:val="00824FA7"/>
    <w:rsid w:val="0082516B"/>
    <w:rsid w:val="008252BE"/>
    <w:rsid w:val="00825695"/>
    <w:rsid w:val="008258D7"/>
    <w:rsid w:val="00825912"/>
    <w:rsid w:val="00825D18"/>
    <w:rsid w:val="008268DF"/>
    <w:rsid w:val="008269A4"/>
    <w:rsid w:val="008269FD"/>
    <w:rsid w:val="00826B59"/>
    <w:rsid w:val="00827C41"/>
    <w:rsid w:val="00827D70"/>
    <w:rsid w:val="00827E1D"/>
    <w:rsid w:val="00827FFA"/>
    <w:rsid w:val="0083050A"/>
    <w:rsid w:val="00830693"/>
    <w:rsid w:val="00831A88"/>
    <w:rsid w:val="00831DEE"/>
    <w:rsid w:val="00831EC6"/>
    <w:rsid w:val="00832144"/>
    <w:rsid w:val="008324AC"/>
    <w:rsid w:val="00832580"/>
    <w:rsid w:val="008326AD"/>
    <w:rsid w:val="00833D55"/>
    <w:rsid w:val="00834848"/>
    <w:rsid w:val="00834A6C"/>
    <w:rsid w:val="00834C10"/>
    <w:rsid w:val="00834E30"/>
    <w:rsid w:val="00836214"/>
    <w:rsid w:val="008366E2"/>
    <w:rsid w:val="00836A9A"/>
    <w:rsid w:val="00837EFD"/>
    <w:rsid w:val="00840626"/>
    <w:rsid w:val="00840893"/>
    <w:rsid w:val="00840EF0"/>
    <w:rsid w:val="00840FC5"/>
    <w:rsid w:val="0084124F"/>
    <w:rsid w:val="008413FA"/>
    <w:rsid w:val="008417AD"/>
    <w:rsid w:val="00841CAE"/>
    <w:rsid w:val="00841DE2"/>
    <w:rsid w:val="008431DA"/>
    <w:rsid w:val="0084343E"/>
    <w:rsid w:val="00843F15"/>
    <w:rsid w:val="0084406E"/>
    <w:rsid w:val="00844115"/>
    <w:rsid w:val="008442DB"/>
    <w:rsid w:val="00844333"/>
    <w:rsid w:val="008449A4"/>
    <w:rsid w:val="00844DAA"/>
    <w:rsid w:val="00845342"/>
    <w:rsid w:val="00845986"/>
    <w:rsid w:val="00845E2F"/>
    <w:rsid w:val="00845FE8"/>
    <w:rsid w:val="00846315"/>
    <w:rsid w:val="00846777"/>
    <w:rsid w:val="00846AA8"/>
    <w:rsid w:val="008472BF"/>
    <w:rsid w:val="008476F4"/>
    <w:rsid w:val="00847711"/>
    <w:rsid w:val="00850234"/>
    <w:rsid w:val="0085023C"/>
    <w:rsid w:val="0085041D"/>
    <w:rsid w:val="008507E8"/>
    <w:rsid w:val="00850995"/>
    <w:rsid w:val="00850A63"/>
    <w:rsid w:val="008511DF"/>
    <w:rsid w:val="00851880"/>
    <w:rsid w:val="00851E5A"/>
    <w:rsid w:val="00852029"/>
    <w:rsid w:val="00852077"/>
    <w:rsid w:val="0085306A"/>
    <w:rsid w:val="00854037"/>
    <w:rsid w:val="0085488C"/>
    <w:rsid w:val="00854BD9"/>
    <w:rsid w:val="00855014"/>
    <w:rsid w:val="0085602A"/>
    <w:rsid w:val="00856069"/>
    <w:rsid w:val="00856074"/>
    <w:rsid w:val="008561D9"/>
    <w:rsid w:val="00856319"/>
    <w:rsid w:val="00856B7E"/>
    <w:rsid w:val="00857387"/>
    <w:rsid w:val="008579DD"/>
    <w:rsid w:val="008604FD"/>
    <w:rsid w:val="00861109"/>
    <w:rsid w:val="00861904"/>
    <w:rsid w:val="008619DC"/>
    <w:rsid w:val="00861A8A"/>
    <w:rsid w:val="00862AA5"/>
    <w:rsid w:val="00862CDD"/>
    <w:rsid w:val="00862F7F"/>
    <w:rsid w:val="00863923"/>
    <w:rsid w:val="00863E49"/>
    <w:rsid w:val="00864078"/>
    <w:rsid w:val="008642DD"/>
    <w:rsid w:val="00864C88"/>
    <w:rsid w:val="0086582B"/>
    <w:rsid w:val="00865927"/>
    <w:rsid w:val="00865D56"/>
    <w:rsid w:val="00865EF0"/>
    <w:rsid w:val="008667C0"/>
    <w:rsid w:val="00867661"/>
    <w:rsid w:val="008679E6"/>
    <w:rsid w:val="00867B19"/>
    <w:rsid w:val="00870049"/>
    <w:rsid w:val="008703B0"/>
    <w:rsid w:val="00870AE3"/>
    <w:rsid w:val="00870B40"/>
    <w:rsid w:val="00870B4B"/>
    <w:rsid w:val="008711EC"/>
    <w:rsid w:val="00871428"/>
    <w:rsid w:val="0087145A"/>
    <w:rsid w:val="0087162D"/>
    <w:rsid w:val="008716BD"/>
    <w:rsid w:val="0087188F"/>
    <w:rsid w:val="00872084"/>
    <w:rsid w:val="0087235A"/>
    <w:rsid w:val="00872451"/>
    <w:rsid w:val="00872ACE"/>
    <w:rsid w:val="00872BD5"/>
    <w:rsid w:val="008733B8"/>
    <w:rsid w:val="0087386D"/>
    <w:rsid w:val="00873C6E"/>
    <w:rsid w:val="008746E4"/>
    <w:rsid w:val="00874799"/>
    <w:rsid w:val="008756B7"/>
    <w:rsid w:val="00875EF9"/>
    <w:rsid w:val="00876AA7"/>
    <w:rsid w:val="00876B30"/>
    <w:rsid w:val="0088049E"/>
    <w:rsid w:val="0088073E"/>
    <w:rsid w:val="00880C7E"/>
    <w:rsid w:val="008818D8"/>
    <w:rsid w:val="008819CC"/>
    <w:rsid w:val="00881CAB"/>
    <w:rsid w:val="008820FF"/>
    <w:rsid w:val="00882C30"/>
    <w:rsid w:val="00883290"/>
    <w:rsid w:val="008832A9"/>
    <w:rsid w:val="00883949"/>
    <w:rsid w:val="00883D9A"/>
    <w:rsid w:val="0088451C"/>
    <w:rsid w:val="00884CAF"/>
    <w:rsid w:val="008854D9"/>
    <w:rsid w:val="0088575A"/>
    <w:rsid w:val="00886930"/>
    <w:rsid w:val="00886A74"/>
    <w:rsid w:val="00886BDD"/>
    <w:rsid w:val="008875E4"/>
    <w:rsid w:val="00887AE4"/>
    <w:rsid w:val="00890A41"/>
    <w:rsid w:val="00891111"/>
    <w:rsid w:val="0089119C"/>
    <w:rsid w:val="00891D30"/>
    <w:rsid w:val="0089252D"/>
    <w:rsid w:val="0089274D"/>
    <w:rsid w:val="0089334B"/>
    <w:rsid w:val="0089378F"/>
    <w:rsid w:val="00893D4D"/>
    <w:rsid w:val="00894110"/>
    <w:rsid w:val="00894846"/>
    <w:rsid w:val="00894FC9"/>
    <w:rsid w:val="008954B2"/>
    <w:rsid w:val="00895CF1"/>
    <w:rsid w:val="008963FA"/>
    <w:rsid w:val="00896714"/>
    <w:rsid w:val="00896B15"/>
    <w:rsid w:val="00897691"/>
    <w:rsid w:val="00897941"/>
    <w:rsid w:val="008979E0"/>
    <w:rsid w:val="00897DA9"/>
    <w:rsid w:val="008A02E0"/>
    <w:rsid w:val="008A156A"/>
    <w:rsid w:val="008A1C47"/>
    <w:rsid w:val="008A246C"/>
    <w:rsid w:val="008A2643"/>
    <w:rsid w:val="008A2871"/>
    <w:rsid w:val="008A2A57"/>
    <w:rsid w:val="008A2BED"/>
    <w:rsid w:val="008A3839"/>
    <w:rsid w:val="008A40D3"/>
    <w:rsid w:val="008A4BA7"/>
    <w:rsid w:val="008A54CD"/>
    <w:rsid w:val="008A651A"/>
    <w:rsid w:val="008A65A2"/>
    <w:rsid w:val="008A69E1"/>
    <w:rsid w:val="008A7D40"/>
    <w:rsid w:val="008A7F84"/>
    <w:rsid w:val="008B0051"/>
    <w:rsid w:val="008B01A0"/>
    <w:rsid w:val="008B0587"/>
    <w:rsid w:val="008B0D9C"/>
    <w:rsid w:val="008B1512"/>
    <w:rsid w:val="008B155B"/>
    <w:rsid w:val="008B21BF"/>
    <w:rsid w:val="008B238A"/>
    <w:rsid w:val="008B24FE"/>
    <w:rsid w:val="008B29F4"/>
    <w:rsid w:val="008B2AC0"/>
    <w:rsid w:val="008B2CA9"/>
    <w:rsid w:val="008B306F"/>
    <w:rsid w:val="008B3367"/>
    <w:rsid w:val="008B3993"/>
    <w:rsid w:val="008B39E1"/>
    <w:rsid w:val="008B3BCD"/>
    <w:rsid w:val="008B4059"/>
    <w:rsid w:val="008B4AF2"/>
    <w:rsid w:val="008B4CAE"/>
    <w:rsid w:val="008B5406"/>
    <w:rsid w:val="008B58FC"/>
    <w:rsid w:val="008B601B"/>
    <w:rsid w:val="008B6E48"/>
    <w:rsid w:val="008B74F1"/>
    <w:rsid w:val="008B79C8"/>
    <w:rsid w:val="008B7FB5"/>
    <w:rsid w:val="008C00C1"/>
    <w:rsid w:val="008C0FEF"/>
    <w:rsid w:val="008C10C2"/>
    <w:rsid w:val="008C186A"/>
    <w:rsid w:val="008C1A5D"/>
    <w:rsid w:val="008C28F1"/>
    <w:rsid w:val="008C33DA"/>
    <w:rsid w:val="008C349C"/>
    <w:rsid w:val="008C371C"/>
    <w:rsid w:val="008C440A"/>
    <w:rsid w:val="008C4F9A"/>
    <w:rsid w:val="008C5E75"/>
    <w:rsid w:val="008C6881"/>
    <w:rsid w:val="008C6A3C"/>
    <w:rsid w:val="008C6A6E"/>
    <w:rsid w:val="008C6D5F"/>
    <w:rsid w:val="008D0162"/>
    <w:rsid w:val="008D060B"/>
    <w:rsid w:val="008D0792"/>
    <w:rsid w:val="008D0954"/>
    <w:rsid w:val="008D0DD9"/>
    <w:rsid w:val="008D0F56"/>
    <w:rsid w:val="008D16DA"/>
    <w:rsid w:val="008D29AF"/>
    <w:rsid w:val="008D3112"/>
    <w:rsid w:val="008D40EF"/>
    <w:rsid w:val="008D496F"/>
    <w:rsid w:val="008D5084"/>
    <w:rsid w:val="008D54B8"/>
    <w:rsid w:val="008D5575"/>
    <w:rsid w:val="008D56DD"/>
    <w:rsid w:val="008D5970"/>
    <w:rsid w:val="008D5FC1"/>
    <w:rsid w:val="008D6AF7"/>
    <w:rsid w:val="008D6B52"/>
    <w:rsid w:val="008D6C72"/>
    <w:rsid w:val="008E068E"/>
    <w:rsid w:val="008E196B"/>
    <w:rsid w:val="008E2260"/>
    <w:rsid w:val="008E2979"/>
    <w:rsid w:val="008E2A13"/>
    <w:rsid w:val="008E2AE5"/>
    <w:rsid w:val="008E2C4C"/>
    <w:rsid w:val="008E2D85"/>
    <w:rsid w:val="008E43AA"/>
    <w:rsid w:val="008E46D8"/>
    <w:rsid w:val="008E47BE"/>
    <w:rsid w:val="008E4F2A"/>
    <w:rsid w:val="008E5704"/>
    <w:rsid w:val="008E5FB3"/>
    <w:rsid w:val="008E67C7"/>
    <w:rsid w:val="008E69A9"/>
    <w:rsid w:val="008E6A55"/>
    <w:rsid w:val="008E6C30"/>
    <w:rsid w:val="008E7066"/>
    <w:rsid w:val="008E7136"/>
    <w:rsid w:val="008F00DC"/>
    <w:rsid w:val="008F04AC"/>
    <w:rsid w:val="008F05F8"/>
    <w:rsid w:val="008F10D6"/>
    <w:rsid w:val="008F1242"/>
    <w:rsid w:val="008F2077"/>
    <w:rsid w:val="008F23DF"/>
    <w:rsid w:val="008F2E6A"/>
    <w:rsid w:val="008F38B9"/>
    <w:rsid w:val="008F3F97"/>
    <w:rsid w:val="008F404B"/>
    <w:rsid w:val="008F4C73"/>
    <w:rsid w:val="008F5212"/>
    <w:rsid w:val="008F587F"/>
    <w:rsid w:val="008F6167"/>
    <w:rsid w:val="008F7853"/>
    <w:rsid w:val="008F7C97"/>
    <w:rsid w:val="008F7E20"/>
    <w:rsid w:val="008F7E92"/>
    <w:rsid w:val="00900DFD"/>
    <w:rsid w:val="00901669"/>
    <w:rsid w:val="00901ACB"/>
    <w:rsid w:val="00901E65"/>
    <w:rsid w:val="00902B27"/>
    <w:rsid w:val="00902D0F"/>
    <w:rsid w:val="00903704"/>
    <w:rsid w:val="00903E59"/>
    <w:rsid w:val="009041A4"/>
    <w:rsid w:val="009047E5"/>
    <w:rsid w:val="00905D18"/>
    <w:rsid w:val="00906540"/>
    <w:rsid w:val="00906900"/>
    <w:rsid w:val="0090699F"/>
    <w:rsid w:val="00906CD8"/>
    <w:rsid w:val="009070F2"/>
    <w:rsid w:val="00910F06"/>
    <w:rsid w:val="00911E33"/>
    <w:rsid w:val="009131DB"/>
    <w:rsid w:val="00913309"/>
    <w:rsid w:val="0091332A"/>
    <w:rsid w:val="009139CD"/>
    <w:rsid w:val="0091470E"/>
    <w:rsid w:val="009150A3"/>
    <w:rsid w:val="009161F0"/>
    <w:rsid w:val="0091628D"/>
    <w:rsid w:val="009167BB"/>
    <w:rsid w:val="00916EC7"/>
    <w:rsid w:val="00916FB0"/>
    <w:rsid w:val="00917592"/>
    <w:rsid w:val="009175DA"/>
    <w:rsid w:val="00917D9E"/>
    <w:rsid w:val="00917FB8"/>
    <w:rsid w:val="00920190"/>
    <w:rsid w:val="0092070F"/>
    <w:rsid w:val="009207E0"/>
    <w:rsid w:val="009209E6"/>
    <w:rsid w:val="00920CD4"/>
    <w:rsid w:val="00920D73"/>
    <w:rsid w:val="00921285"/>
    <w:rsid w:val="009216FF"/>
    <w:rsid w:val="00921A78"/>
    <w:rsid w:val="009234EE"/>
    <w:rsid w:val="009237BB"/>
    <w:rsid w:val="00923AB4"/>
    <w:rsid w:val="00923C16"/>
    <w:rsid w:val="00924EB9"/>
    <w:rsid w:val="00925131"/>
    <w:rsid w:val="00925F1A"/>
    <w:rsid w:val="00926E4C"/>
    <w:rsid w:val="00927482"/>
    <w:rsid w:val="0092783D"/>
    <w:rsid w:val="00927FA8"/>
    <w:rsid w:val="00930091"/>
    <w:rsid w:val="00930312"/>
    <w:rsid w:val="009306E7"/>
    <w:rsid w:val="00930917"/>
    <w:rsid w:val="0093128C"/>
    <w:rsid w:val="00931CBF"/>
    <w:rsid w:val="0093282C"/>
    <w:rsid w:val="00933084"/>
    <w:rsid w:val="00933998"/>
    <w:rsid w:val="0093403D"/>
    <w:rsid w:val="00934830"/>
    <w:rsid w:val="009350D1"/>
    <w:rsid w:val="00935194"/>
    <w:rsid w:val="00935701"/>
    <w:rsid w:val="009359C6"/>
    <w:rsid w:val="00935A04"/>
    <w:rsid w:val="00935BFE"/>
    <w:rsid w:val="009362A6"/>
    <w:rsid w:val="009363C3"/>
    <w:rsid w:val="0093647E"/>
    <w:rsid w:val="00936F42"/>
    <w:rsid w:val="009370BD"/>
    <w:rsid w:val="009379A5"/>
    <w:rsid w:val="0094020A"/>
    <w:rsid w:val="00941022"/>
    <w:rsid w:val="00941294"/>
    <w:rsid w:val="0094173E"/>
    <w:rsid w:val="00941E73"/>
    <w:rsid w:val="00941F5F"/>
    <w:rsid w:val="00942079"/>
    <w:rsid w:val="0094230D"/>
    <w:rsid w:val="0094322E"/>
    <w:rsid w:val="0094361A"/>
    <w:rsid w:val="00943CCF"/>
    <w:rsid w:val="00944194"/>
    <w:rsid w:val="009453BD"/>
    <w:rsid w:val="009453CB"/>
    <w:rsid w:val="0094584B"/>
    <w:rsid w:val="00945C43"/>
    <w:rsid w:val="009466E5"/>
    <w:rsid w:val="00946BEC"/>
    <w:rsid w:val="00946BFD"/>
    <w:rsid w:val="00947174"/>
    <w:rsid w:val="0095046A"/>
    <w:rsid w:val="009505BF"/>
    <w:rsid w:val="009514A9"/>
    <w:rsid w:val="00951952"/>
    <w:rsid w:val="00951F02"/>
    <w:rsid w:val="009526FE"/>
    <w:rsid w:val="00952720"/>
    <w:rsid w:val="009528E0"/>
    <w:rsid w:val="00953482"/>
    <w:rsid w:val="00954458"/>
    <w:rsid w:val="00954710"/>
    <w:rsid w:val="00954C5B"/>
    <w:rsid w:val="00954DBA"/>
    <w:rsid w:val="00954FCE"/>
    <w:rsid w:val="009559FC"/>
    <w:rsid w:val="00955A76"/>
    <w:rsid w:val="00956327"/>
    <w:rsid w:val="009564D4"/>
    <w:rsid w:val="009565A0"/>
    <w:rsid w:val="00956E20"/>
    <w:rsid w:val="009570F8"/>
    <w:rsid w:val="0095776F"/>
    <w:rsid w:val="00957C89"/>
    <w:rsid w:val="00960C0C"/>
    <w:rsid w:val="009615D0"/>
    <w:rsid w:val="00961679"/>
    <w:rsid w:val="00961842"/>
    <w:rsid w:val="00961F7B"/>
    <w:rsid w:val="00962082"/>
    <w:rsid w:val="0096260E"/>
    <w:rsid w:val="00962817"/>
    <w:rsid w:val="00962E21"/>
    <w:rsid w:val="0096329E"/>
    <w:rsid w:val="009636CD"/>
    <w:rsid w:val="009636F9"/>
    <w:rsid w:val="00964BAA"/>
    <w:rsid w:val="00964BDD"/>
    <w:rsid w:val="00964C62"/>
    <w:rsid w:val="00965B60"/>
    <w:rsid w:val="00966410"/>
    <w:rsid w:val="009664C2"/>
    <w:rsid w:val="00966776"/>
    <w:rsid w:val="00966BC5"/>
    <w:rsid w:val="00967AFE"/>
    <w:rsid w:val="00970246"/>
    <w:rsid w:val="009706EE"/>
    <w:rsid w:val="00970AC5"/>
    <w:rsid w:val="009712F4"/>
    <w:rsid w:val="0097179E"/>
    <w:rsid w:val="009733BB"/>
    <w:rsid w:val="00973838"/>
    <w:rsid w:val="009739FC"/>
    <w:rsid w:val="00974297"/>
    <w:rsid w:val="00974480"/>
    <w:rsid w:val="00974655"/>
    <w:rsid w:val="009749A3"/>
    <w:rsid w:val="00974DD3"/>
    <w:rsid w:val="00974F2A"/>
    <w:rsid w:val="00975210"/>
    <w:rsid w:val="009756DE"/>
    <w:rsid w:val="00975A05"/>
    <w:rsid w:val="00975D11"/>
    <w:rsid w:val="00976000"/>
    <w:rsid w:val="00976093"/>
    <w:rsid w:val="0097623F"/>
    <w:rsid w:val="009769FD"/>
    <w:rsid w:val="00976A4A"/>
    <w:rsid w:val="0097731E"/>
    <w:rsid w:val="00977481"/>
    <w:rsid w:val="00977CAD"/>
    <w:rsid w:val="009801B5"/>
    <w:rsid w:val="00980A11"/>
    <w:rsid w:val="00980B60"/>
    <w:rsid w:val="00980B79"/>
    <w:rsid w:val="00981575"/>
    <w:rsid w:val="009815B1"/>
    <w:rsid w:val="009815DE"/>
    <w:rsid w:val="0098186A"/>
    <w:rsid w:val="00981B0E"/>
    <w:rsid w:val="00981B19"/>
    <w:rsid w:val="00981B69"/>
    <w:rsid w:val="00981D06"/>
    <w:rsid w:val="009823B0"/>
    <w:rsid w:val="009824F0"/>
    <w:rsid w:val="00982FFD"/>
    <w:rsid w:val="00983546"/>
    <w:rsid w:val="009843EE"/>
    <w:rsid w:val="009845D7"/>
    <w:rsid w:val="009849B7"/>
    <w:rsid w:val="00984FBE"/>
    <w:rsid w:val="00985156"/>
    <w:rsid w:val="00985412"/>
    <w:rsid w:val="00985AD9"/>
    <w:rsid w:val="00985BB3"/>
    <w:rsid w:val="0098628C"/>
    <w:rsid w:val="00986595"/>
    <w:rsid w:val="009865D4"/>
    <w:rsid w:val="00986C14"/>
    <w:rsid w:val="00986C1B"/>
    <w:rsid w:val="00987DD7"/>
    <w:rsid w:val="009902F7"/>
    <w:rsid w:val="0099088E"/>
    <w:rsid w:val="00990B0D"/>
    <w:rsid w:val="00991602"/>
    <w:rsid w:val="00991FA4"/>
    <w:rsid w:val="00992893"/>
    <w:rsid w:val="00992AE0"/>
    <w:rsid w:val="00993172"/>
    <w:rsid w:val="009932E4"/>
    <w:rsid w:val="00993B85"/>
    <w:rsid w:val="00993DED"/>
    <w:rsid w:val="00993F0C"/>
    <w:rsid w:val="0099421C"/>
    <w:rsid w:val="00994268"/>
    <w:rsid w:val="00994C22"/>
    <w:rsid w:val="00994EBA"/>
    <w:rsid w:val="00995AC3"/>
    <w:rsid w:val="00995D2E"/>
    <w:rsid w:val="00996BD1"/>
    <w:rsid w:val="00997270"/>
    <w:rsid w:val="009975D1"/>
    <w:rsid w:val="00997D95"/>
    <w:rsid w:val="00997DF7"/>
    <w:rsid w:val="009A0131"/>
    <w:rsid w:val="009A09DD"/>
    <w:rsid w:val="009A15F4"/>
    <w:rsid w:val="009A1766"/>
    <w:rsid w:val="009A19D0"/>
    <w:rsid w:val="009A1D9C"/>
    <w:rsid w:val="009A20E1"/>
    <w:rsid w:val="009A22C4"/>
    <w:rsid w:val="009A2459"/>
    <w:rsid w:val="009A293A"/>
    <w:rsid w:val="009A3084"/>
    <w:rsid w:val="009A3960"/>
    <w:rsid w:val="009A3BDF"/>
    <w:rsid w:val="009A3CBF"/>
    <w:rsid w:val="009A43DF"/>
    <w:rsid w:val="009A4636"/>
    <w:rsid w:val="009A48E4"/>
    <w:rsid w:val="009A4D42"/>
    <w:rsid w:val="009A50E5"/>
    <w:rsid w:val="009A5486"/>
    <w:rsid w:val="009A64B9"/>
    <w:rsid w:val="009A73D2"/>
    <w:rsid w:val="009A7E93"/>
    <w:rsid w:val="009B05FE"/>
    <w:rsid w:val="009B060D"/>
    <w:rsid w:val="009B0B74"/>
    <w:rsid w:val="009B0BAB"/>
    <w:rsid w:val="009B1186"/>
    <w:rsid w:val="009B1231"/>
    <w:rsid w:val="009B17D6"/>
    <w:rsid w:val="009B1980"/>
    <w:rsid w:val="009B1D57"/>
    <w:rsid w:val="009B217C"/>
    <w:rsid w:val="009B2A52"/>
    <w:rsid w:val="009B3499"/>
    <w:rsid w:val="009B361C"/>
    <w:rsid w:val="009B4306"/>
    <w:rsid w:val="009B567C"/>
    <w:rsid w:val="009B6245"/>
    <w:rsid w:val="009B626D"/>
    <w:rsid w:val="009B65D0"/>
    <w:rsid w:val="009B65FB"/>
    <w:rsid w:val="009B6F86"/>
    <w:rsid w:val="009C0077"/>
    <w:rsid w:val="009C082C"/>
    <w:rsid w:val="009C0A75"/>
    <w:rsid w:val="009C10B5"/>
    <w:rsid w:val="009C13F5"/>
    <w:rsid w:val="009C1794"/>
    <w:rsid w:val="009C191C"/>
    <w:rsid w:val="009C259E"/>
    <w:rsid w:val="009C2CC6"/>
    <w:rsid w:val="009C3128"/>
    <w:rsid w:val="009C37D7"/>
    <w:rsid w:val="009C39C6"/>
    <w:rsid w:val="009C420D"/>
    <w:rsid w:val="009C4CB8"/>
    <w:rsid w:val="009C4EF8"/>
    <w:rsid w:val="009C516B"/>
    <w:rsid w:val="009C5462"/>
    <w:rsid w:val="009C741C"/>
    <w:rsid w:val="009C7436"/>
    <w:rsid w:val="009C7511"/>
    <w:rsid w:val="009C789F"/>
    <w:rsid w:val="009C7A9A"/>
    <w:rsid w:val="009D02B8"/>
    <w:rsid w:val="009D06B9"/>
    <w:rsid w:val="009D0BED"/>
    <w:rsid w:val="009D1116"/>
    <w:rsid w:val="009D16B4"/>
    <w:rsid w:val="009D2268"/>
    <w:rsid w:val="009D37EF"/>
    <w:rsid w:val="009D3925"/>
    <w:rsid w:val="009D3B4E"/>
    <w:rsid w:val="009D4229"/>
    <w:rsid w:val="009D4500"/>
    <w:rsid w:val="009D45F3"/>
    <w:rsid w:val="009D45F6"/>
    <w:rsid w:val="009D4826"/>
    <w:rsid w:val="009D48CC"/>
    <w:rsid w:val="009D49C2"/>
    <w:rsid w:val="009D5262"/>
    <w:rsid w:val="009D55CF"/>
    <w:rsid w:val="009D5682"/>
    <w:rsid w:val="009D5752"/>
    <w:rsid w:val="009D64DE"/>
    <w:rsid w:val="009D671E"/>
    <w:rsid w:val="009D6C91"/>
    <w:rsid w:val="009D72F9"/>
    <w:rsid w:val="009D7D40"/>
    <w:rsid w:val="009D7E40"/>
    <w:rsid w:val="009E023D"/>
    <w:rsid w:val="009E0245"/>
    <w:rsid w:val="009E03F1"/>
    <w:rsid w:val="009E053B"/>
    <w:rsid w:val="009E0A1D"/>
    <w:rsid w:val="009E1396"/>
    <w:rsid w:val="009E21A5"/>
    <w:rsid w:val="009E2259"/>
    <w:rsid w:val="009E2334"/>
    <w:rsid w:val="009E3851"/>
    <w:rsid w:val="009E3C8B"/>
    <w:rsid w:val="009E3CBD"/>
    <w:rsid w:val="009E3E8B"/>
    <w:rsid w:val="009E48D1"/>
    <w:rsid w:val="009E5859"/>
    <w:rsid w:val="009E596E"/>
    <w:rsid w:val="009E684E"/>
    <w:rsid w:val="009E709A"/>
    <w:rsid w:val="009E7754"/>
    <w:rsid w:val="009E7960"/>
    <w:rsid w:val="009F00C4"/>
    <w:rsid w:val="009F017E"/>
    <w:rsid w:val="009F0B02"/>
    <w:rsid w:val="009F0C44"/>
    <w:rsid w:val="009F0DB0"/>
    <w:rsid w:val="009F1192"/>
    <w:rsid w:val="009F1715"/>
    <w:rsid w:val="009F1848"/>
    <w:rsid w:val="009F195F"/>
    <w:rsid w:val="009F1F24"/>
    <w:rsid w:val="009F2940"/>
    <w:rsid w:val="009F2C96"/>
    <w:rsid w:val="009F3028"/>
    <w:rsid w:val="009F3139"/>
    <w:rsid w:val="009F39DF"/>
    <w:rsid w:val="009F3AE7"/>
    <w:rsid w:val="009F4F96"/>
    <w:rsid w:val="009F528B"/>
    <w:rsid w:val="009F5D3A"/>
    <w:rsid w:val="009F6115"/>
    <w:rsid w:val="009F612B"/>
    <w:rsid w:val="009F62D8"/>
    <w:rsid w:val="009F7233"/>
    <w:rsid w:val="009F7C56"/>
    <w:rsid w:val="009F7CC6"/>
    <w:rsid w:val="009F7E82"/>
    <w:rsid w:val="009F7F49"/>
    <w:rsid w:val="00A00A5A"/>
    <w:rsid w:val="00A0140C"/>
    <w:rsid w:val="00A0179A"/>
    <w:rsid w:val="00A01E32"/>
    <w:rsid w:val="00A02396"/>
    <w:rsid w:val="00A02927"/>
    <w:rsid w:val="00A0294E"/>
    <w:rsid w:val="00A03784"/>
    <w:rsid w:val="00A03E31"/>
    <w:rsid w:val="00A044B4"/>
    <w:rsid w:val="00A046F3"/>
    <w:rsid w:val="00A049CF"/>
    <w:rsid w:val="00A04BBA"/>
    <w:rsid w:val="00A05BC1"/>
    <w:rsid w:val="00A05D9E"/>
    <w:rsid w:val="00A06802"/>
    <w:rsid w:val="00A06A35"/>
    <w:rsid w:val="00A06ABC"/>
    <w:rsid w:val="00A0721E"/>
    <w:rsid w:val="00A07E95"/>
    <w:rsid w:val="00A12332"/>
    <w:rsid w:val="00A12CEA"/>
    <w:rsid w:val="00A1315F"/>
    <w:rsid w:val="00A1499C"/>
    <w:rsid w:val="00A14A3F"/>
    <w:rsid w:val="00A14B9F"/>
    <w:rsid w:val="00A14FDB"/>
    <w:rsid w:val="00A15730"/>
    <w:rsid w:val="00A15735"/>
    <w:rsid w:val="00A1599D"/>
    <w:rsid w:val="00A15F07"/>
    <w:rsid w:val="00A16B6D"/>
    <w:rsid w:val="00A17067"/>
    <w:rsid w:val="00A173BB"/>
    <w:rsid w:val="00A17790"/>
    <w:rsid w:val="00A17FF7"/>
    <w:rsid w:val="00A2018D"/>
    <w:rsid w:val="00A208D4"/>
    <w:rsid w:val="00A20C0F"/>
    <w:rsid w:val="00A20CF2"/>
    <w:rsid w:val="00A221DB"/>
    <w:rsid w:val="00A22302"/>
    <w:rsid w:val="00A22412"/>
    <w:rsid w:val="00A226D7"/>
    <w:rsid w:val="00A24103"/>
    <w:rsid w:val="00A241C6"/>
    <w:rsid w:val="00A246BD"/>
    <w:rsid w:val="00A2473F"/>
    <w:rsid w:val="00A24F0A"/>
    <w:rsid w:val="00A257D2"/>
    <w:rsid w:val="00A25B6D"/>
    <w:rsid w:val="00A26795"/>
    <w:rsid w:val="00A27029"/>
    <w:rsid w:val="00A27267"/>
    <w:rsid w:val="00A2772F"/>
    <w:rsid w:val="00A27ED9"/>
    <w:rsid w:val="00A30634"/>
    <w:rsid w:val="00A30CDE"/>
    <w:rsid w:val="00A30EB8"/>
    <w:rsid w:val="00A31246"/>
    <w:rsid w:val="00A31AC9"/>
    <w:rsid w:val="00A32286"/>
    <w:rsid w:val="00A32325"/>
    <w:rsid w:val="00A3252C"/>
    <w:rsid w:val="00A32775"/>
    <w:rsid w:val="00A32B2A"/>
    <w:rsid w:val="00A32D0C"/>
    <w:rsid w:val="00A3314D"/>
    <w:rsid w:val="00A33989"/>
    <w:rsid w:val="00A33DD1"/>
    <w:rsid w:val="00A345CE"/>
    <w:rsid w:val="00A346AE"/>
    <w:rsid w:val="00A3483C"/>
    <w:rsid w:val="00A34B15"/>
    <w:rsid w:val="00A34C35"/>
    <w:rsid w:val="00A35E83"/>
    <w:rsid w:val="00A363B7"/>
    <w:rsid w:val="00A364B5"/>
    <w:rsid w:val="00A3694F"/>
    <w:rsid w:val="00A36FFD"/>
    <w:rsid w:val="00A37733"/>
    <w:rsid w:val="00A403C6"/>
    <w:rsid w:val="00A4087A"/>
    <w:rsid w:val="00A40BA2"/>
    <w:rsid w:val="00A41F0A"/>
    <w:rsid w:val="00A423B2"/>
    <w:rsid w:val="00A42EB3"/>
    <w:rsid w:val="00A4331B"/>
    <w:rsid w:val="00A43C36"/>
    <w:rsid w:val="00A43F9B"/>
    <w:rsid w:val="00A4440E"/>
    <w:rsid w:val="00A4463B"/>
    <w:rsid w:val="00A457AE"/>
    <w:rsid w:val="00A45C0C"/>
    <w:rsid w:val="00A4683B"/>
    <w:rsid w:val="00A479C7"/>
    <w:rsid w:val="00A47A7E"/>
    <w:rsid w:val="00A47C7D"/>
    <w:rsid w:val="00A509B9"/>
    <w:rsid w:val="00A510E6"/>
    <w:rsid w:val="00A5119E"/>
    <w:rsid w:val="00A51358"/>
    <w:rsid w:val="00A51481"/>
    <w:rsid w:val="00A517DE"/>
    <w:rsid w:val="00A51AAB"/>
    <w:rsid w:val="00A52669"/>
    <w:rsid w:val="00A52D69"/>
    <w:rsid w:val="00A53447"/>
    <w:rsid w:val="00A53826"/>
    <w:rsid w:val="00A53A79"/>
    <w:rsid w:val="00A53B9E"/>
    <w:rsid w:val="00A53C57"/>
    <w:rsid w:val="00A53ED3"/>
    <w:rsid w:val="00A54322"/>
    <w:rsid w:val="00A54B67"/>
    <w:rsid w:val="00A54E7B"/>
    <w:rsid w:val="00A55A75"/>
    <w:rsid w:val="00A56BAF"/>
    <w:rsid w:val="00A5763F"/>
    <w:rsid w:val="00A57AC3"/>
    <w:rsid w:val="00A60078"/>
    <w:rsid w:val="00A600C9"/>
    <w:rsid w:val="00A60154"/>
    <w:rsid w:val="00A606AB"/>
    <w:rsid w:val="00A6103A"/>
    <w:rsid w:val="00A61593"/>
    <w:rsid w:val="00A615FD"/>
    <w:rsid w:val="00A61632"/>
    <w:rsid w:val="00A62457"/>
    <w:rsid w:val="00A62486"/>
    <w:rsid w:val="00A62A34"/>
    <w:rsid w:val="00A62D0E"/>
    <w:rsid w:val="00A63257"/>
    <w:rsid w:val="00A635F5"/>
    <w:rsid w:val="00A640D8"/>
    <w:rsid w:val="00A6412D"/>
    <w:rsid w:val="00A655A7"/>
    <w:rsid w:val="00A66A1F"/>
    <w:rsid w:val="00A66AA9"/>
    <w:rsid w:val="00A66E44"/>
    <w:rsid w:val="00A67B8A"/>
    <w:rsid w:val="00A67C6C"/>
    <w:rsid w:val="00A705CA"/>
    <w:rsid w:val="00A70DEA"/>
    <w:rsid w:val="00A70F87"/>
    <w:rsid w:val="00A71108"/>
    <w:rsid w:val="00A71892"/>
    <w:rsid w:val="00A71CC1"/>
    <w:rsid w:val="00A720ED"/>
    <w:rsid w:val="00A72160"/>
    <w:rsid w:val="00A72572"/>
    <w:rsid w:val="00A72936"/>
    <w:rsid w:val="00A72CD5"/>
    <w:rsid w:val="00A73066"/>
    <w:rsid w:val="00A74752"/>
    <w:rsid w:val="00A74897"/>
    <w:rsid w:val="00A75101"/>
    <w:rsid w:val="00A752E2"/>
    <w:rsid w:val="00A7642D"/>
    <w:rsid w:val="00A76B97"/>
    <w:rsid w:val="00A770B8"/>
    <w:rsid w:val="00A77E8B"/>
    <w:rsid w:val="00A804F1"/>
    <w:rsid w:val="00A80A11"/>
    <w:rsid w:val="00A80FC4"/>
    <w:rsid w:val="00A810E1"/>
    <w:rsid w:val="00A8129B"/>
    <w:rsid w:val="00A816A9"/>
    <w:rsid w:val="00A8291E"/>
    <w:rsid w:val="00A8339A"/>
    <w:rsid w:val="00A8380E"/>
    <w:rsid w:val="00A839EF"/>
    <w:rsid w:val="00A83C9B"/>
    <w:rsid w:val="00A8478E"/>
    <w:rsid w:val="00A847A8"/>
    <w:rsid w:val="00A8493A"/>
    <w:rsid w:val="00A84C41"/>
    <w:rsid w:val="00A85420"/>
    <w:rsid w:val="00A856BA"/>
    <w:rsid w:val="00A86206"/>
    <w:rsid w:val="00A8698D"/>
    <w:rsid w:val="00A86B6A"/>
    <w:rsid w:val="00A86E4A"/>
    <w:rsid w:val="00A871B2"/>
    <w:rsid w:val="00A87623"/>
    <w:rsid w:val="00A876FA"/>
    <w:rsid w:val="00A8779E"/>
    <w:rsid w:val="00A9070D"/>
    <w:rsid w:val="00A90A6F"/>
    <w:rsid w:val="00A90F12"/>
    <w:rsid w:val="00A91A50"/>
    <w:rsid w:val="00A91D6E"/>
    <w:rsid w:val="00A91D7D"/>
    <w:rsid w:val="00A920E8"/>
    <w:rsid w:val="00A92DB5"/>
    <w:rsid w:val="00A93066"/>
    <w:rsid w:val="00A930AE"/>
    <w:rsid w:val="00A9370F"/>
    <w:rsid w:val="00A93A0E"/>
    <w:rsid w:val="00A93C2C"/>
    <w:rsid w:val="00A94961"/>
    <w:rsid w:val="00A9497D"/>
    <w:rsid w:val="00A954A8"/>
    <w:rsid w:val="00A95E36"/>
    <w:rsid w:val="00A972CB"/>
    <w:rsid w:val="00A9797D"/>
    <w:rsid w:val="00AA0234"/>
    <w:rsid w:val="00AA10D6"/>
    <w:rsid w:val="00AA1738"/>
    <w:rsid w:val="00AA21C8"/>
    <w:rsid w:val="00AA2F3E"/>
    <w:rsid w:val="00AA3504"/>
    <w:rsid w:val="00AA3CE3"/>
    <w:rsid w:val="00AA3F17"/>
    <w:rsid w:val="00AA551D"/>
    <w:rsid w:val="00AA5BBA"/>
    <w:rsid w:val="00AA5DDD"/>
    <w:rsid w:val="00AA6014"/>
    <w:rsid w:val="00AA6169"/>
    <w:rsid w:val="00AA6AAC"/>
    <w:rsid w:val="00AA6BC7"/>
    <w:rsid w:val="00AA6D0D"/>
    <w:rsid w:val="00AA7B25"/>
    <w:rsid w:val="00AA7B79"/>
    <w:rsid w:val="00AA7D11"/>
    <w:rsid w:val="00AB0F95"/>
    <w:rsid w:val="00AB0F99"/>
    <w:rsid w:val="00AB1EB5"/>
    <w:rsid w:val="00AB269A"/>
    <w:rsid w:val="00AB29EE"/>
    <w:rsid w:val="00AB30B5"/>
    <w:rsid w:val="00AB3974"/>
    <w:rsid w:val="00AB3C66"/>
    <w:rsid w:val="00AB3E94"/>
    <w:rsid w:val="00AB49E6"/>
    <w:rsid w:val="00AB4D5F"/>
    <w:rsid w:val="00AB4DB6"/>
    <w:rsid w:val="00AB56FB"/>
    <w:rsid w:val="00AB5789"/>
    <w:rsid w:val="00AB59C6"/>
    <w:rsid w:val="00AB5A72"/>
    <w:rsid w:val="00AB5B51"/>
    <w:rsid w:val="00AB5C21"/>
    <w:rsid w:val="00AB66C6"/>
    <w:rsid w:val="00AB79D0"/>
    <w:rsid w:val="00AB7DF7"/>
    <w:rsid w:val="00AB7EB9"/>
    <w:rsid w:val="00AC0084"/>
    <w:rsid w:val="00AC0157"/>
    <w:rsid w:val="00AC0196"/>
    <w:rsid w:val="00AC0A97"/>
    <w:rsid w:val="00AC0E0F"/>
    <w:rsid w:val="00AC1025"/>
    <w:rsid w:val="00AC1171"/>
    <w:rsid w:val="00AC1362"/>
    <w:rsid w:val="00AC2E93"/>
    <w:rsid w:val="00AC3137"/>
    <w:rsid w:val="00AC3B49"/>
    <w:rsid w:val="00AC3B74"/>
    <w:rsid w:val="00AC5A44"/>
    <w:rsid w:val="00AC638A"/>
    <w:rsid w:val="00AC700A"/>
    <w:rsid w:val="00AC72FC"/>
    <w:rsid w:val="00AC73E6"/>
    <w:rsid w:val="00AC742E"/>
    <w:rsid w:val="00AD01C1"/>
    <w:rsid w:val="00AD088B"/>
    <w:rsid w:val="00AD08D4"/>
    <w:rsid w:val="00AD0D38"/>
    <w:rsid w:val="00AD0E96"/>
    <w:rsid w:val="00AD178C"/>
    <w:rsid w:val="00AD17AC"/>
    <w:rsid w:val="00AD192F"/>
    <w:rsid w:val="00AD231D"/>
    <w:rsid w:val="00AD2ADE"/>
    <w:rsid w:val="00AD2D15"/>
    <w:rsid w:val="00AD2F47"/>
    <w:rsid w:val="00AD33DF"/>
    <w:rsid w:val="00AD408C"/>
    <w:rsid w:val="00AD40D7"/>
    <w:rsid w:val="00AD479F"/>
    <w:rsid w:val="00AD4872"/>
    <w:rsid w:val="00AD496C"/>
    <w:rsid w:val="00AD5239"/>
    <w:rsid w:val="00AD5634"/>
    <w:rsid w:val="00AD5EF6"/>
    <w:rsid w:val="00AD6A7B"/>
    <w:rsid w:val="00AD6B87"/>
    <w:rsid w:val="00AD6C4D"/>
    <w:rsid w:val="00AD6D9F"/>
    <w:rsid w:val="00AD6EA2"/>
    <w:rsid w:val="00AD73A6"/>
    <w:rsid w:val="00AD78AA"/>
    <w:rsid w:val="00AD7CA2"/>
    <w:rsid w:val="00AE0B0C"/>
    <w:rsid w:val="00AE11A0"/>
    <w:rsid w:val="00AE154E"/>
    <w:rsid w:val="00AE1572"/>
    <w:rsid w:val="00AE1716"/>
    <w:rsid w:val="00AE2D88"/>
    <w:rsid w:val="00AE30B1"/>
    <w:rsid w:val="00AE3610"/>
    <w:rsid w:val="00AE40BC"/>
    <w:rsid w:val="00AE4183"/>
    <w:rsid w:val="00AE4574"/>
    <w:rsid w:val="00AE4C89"/>
    <w:rsid w:val="00AE4D9B"/>
    <w:rsid w:val="00AE4FC2"/>
    <w:rsid w:val="00AE55BA"/>
    <w:rsid w:val="00AE581B"/>
    <w:rsid w:val="00AE5B8E"/>
    <w:rsid w:val="00AE69F7"/>
    <w:rsid w:val="00AE6B6E"/>
    <w:rsid w:val="00AE78DF"/>
    <w:rsid w:val="00AF0A05"/>
    <w:rsid w:val="00AF0B1E"/>
    <w:rsid w:val="00AF19A3"/>
    <w:rsid w:val="00AF1B4A"/>
    <w:rsid w:val="00AF2201"/>
    <w:rsid w:val="00AF22F4"/>
    <w:rsid w:val="00AF292B"/>
    <w:rsid w:val="00AF2AFC"/>
    <w:rsid w:val="00AF2DF4"/>
    <w:rsid w:val="00AF300C"/>
    <w:rsid w:val="00AF3400"/>
    <w:rsid w:val="00AF340F"/>
    <w:rsid w:val="00AF42D5"/>
    <w:rsid w:val="00AF495E"/>
    <w:rsid w:val="00AF4F3C"/>
    <w:rsid w:val="00AF50A4"/>
    <w:rsid w:val="00AF5605"/>
    <w:rsid w:val="00AF5D62"/>
    <w:rsid w:val="00AF6624"/>
    <w:rsid w:val="00AF6DBE"/>
    <w:rsid w:val="00AF6F08"/>
    <w:rsid w:val="00AF70B5"/>
    <w:rsid w:val="00AF7A7E"/>
    <w:rsid w:val="00B0007D"/>
    <w:rsid w:val="00B00955"/>
    <w:rsid w:val="00B00A30"/>
    <w:rsid w:val="00B00A91"/>
    <w:rsid w:val="00B00BA7"/>
    <w:rsid w:val="00B00DEF"/>
    <w:rsid w:val="00B011E7"/>
    <w:rsid w:val="00B013F4"/>
    <w:rsid w:val="00B01714"/>
    <w:rsid w:val="00B01A43"/>
    <w:rsid w:val="00B026F0"/>
    <w:rsid w:val="00B0272F"/>
    <w:rsid w:val="00B02D61"/>
    <w:rsid w:val="00B02F0B"/>
    <w:rsid w:val="00B031E5"/>
    <w:rsid w:val="00B042F3"/>
    <w:rsid w:val="00B04500"/>
    <w:rsid w:val="00B051B9"/>
    <w:rsid w:val="00B05D1F"/>
    <w:rsid w:val="00B062A0"/>
    <w:rsid w:val="00B10BF5"/>
    <w:rsid w:val="00B10FD3"/>
    <w:rsid w:val="00B113B3"/>
    <w:rsid w:val="00B11428"/>
    <w:rsid w:val="00B11644"/>
    <w:rsid w:val="00B1185D"/>
    <w:rsid w:val="00B1261D"/>
    <w:rsid w:val="00B12E62"/>
    <w:rsid w:val="00B13885"/>
    <w:rsid w:val="00B13CFA"/>
    <w:rsid w:val="00B13E5A"/>
    <w:rsid w:val="00B1408A"/>
    <w:rsid w:val="00B14581"/>
    <w:rsid w:val="00B14D52"/>
    <w:rsid w:val="00B1507C"/>
    <w:rsid w:val="00B1511C"/>
    <w:rsid w:val="00B1549D"/>
    <w:rsid w:val="00B15FCF"/>
    <w:rsid w:val="00B177D8"/>
    <w:rsid w:val="00B201CC"/>
    <w:rsid w:val="00B20D43"/>
    <w:rsid w:val="00B210E0"/>
    <w:rsid w:val="00B21199"/>
    <w:rsid w:val="00B21474"/>
    <w:rsid w:val="00B214CD"/>
    <w:rsid w:val="00B21675"/>
    <w:rsid w:val="00B21C32"/>
    <w:rsid w:val="00B21C7C"/>
    <w:rsid w:val="00B21CEF"/>
    <w:rsid w:val="00B226E2"/>
    <w:rsid w:val="00B22E15"/>
    <w:rsid w:val="00B22F1E"/>
    <w:rsid w:val="00B2302D"/>
    <w:rsid w:val="00B23189"/>
    <w:rsid w:val="00B23672"/>
    <w:rsid w:val="00B236BF"/>
    <w:rsid w:val="00B2379F"/>
    <w:rsid w:val="00B24599"/>
    <w:rsid w:val="00B24B17"/>
    <w:rsid w:val="00B24B45"/>
    <w:rsid w:val="00B2542D"/>
    <w:rsid w:val="00B26839"/>
    <w:rsid w:val="00B27178"/>
    <w:rsid w:val="00B272B8"/>
    <w:rsid w:val="00B30256"/>
    <w:rsid w:val="00B30CF5"/>
    <w:rsid w:val="00B31070"/>
    <w:rsid w:val="00B31435"/>
    <w:rsid w:val="00B3143E"/>
    <w:rsid w:val="00B31658"/>
    <w:rsid w:val="00B31884"/>
    <w:rsid w:val="00B323A6"/>
    <w:rsid w:val="00B32D2A"/>
    <w:rsid w:val="00B331BA"/>
    <w:rsid w:val="00B33529"/>
    <w:rsid w:val="00B33931"/>
    <w:rsid w:val="00B34114"/>
    <w:rsid w:val="00B341C5"/>
    <w:rsid w:val="00B34410"/>
    <w:rsid w:val="00B34964"/>
    <w:rsid w:val="00B34BB1"/>
    <w:rsid w:val="00B34C08"/>
    <w:rsid w:val="00B359B5"/>
    <w:rsid w:val="00B36079"/>
    <w:rsid w:val="00B36218"/>
    <w:rsid w:val="00B36517"/>
    <w:rsid w:val="00B369E4"/>
    <w:rsid w:val="00B36CBD"/>
    <w:rsid w:val="00B36E9E"/>
    <w:rsid w:val="00B3727B"/>
    <w:rsid w:val="00B374A8"/>
    <w:rsid w:val="00B37630"/>
    <w:rsid w:val="00B3789C"/>
    <w:rsid w:val="00B37D9B"/>
    <w:rsid w:val="00B40349"/>
    <w:rsid w:val="00B405FE"/>
    <w:rsid w:val="00B40F4D"/>
    <w:rsid w:val="00B4165C"/>
    <w:rsid w:val="00B41A2C"/>
    <w:rsid w:val="00B42B97"/>
    <w:rsid w:val="00B43213"/>
    <w:rsid w:val="00B43686"/>
    <w:rsid w:val="00B43B5D"/>
    <w:rsid w:val="00B445E8"/>
    <w:rsid w:val="00B44605"/>
    <w:rsid w:val="00B44D31"/>
    <w:rsid w:val="00B45264"/>
    <w:rsid w:val="00B45852"/>
    <w:rsid w:val="00B45FDC"/>
    <w:rsid w:val="00B46405"/>
    <w:rsid w:val="00B4749D"/>
    <w:rsid w:val="00B4770A"/>
    <w:rsid w:val="00B47CD0"/>
    <w:rsid w:val="00B5058F"/>
    <w:rsid w:val="00B50B5D"/>
    <w:rsid w:val="00B51543"/>
    <w:rsid w:val="00B520B6"/>
    <w:rsid w:val="00B52485"/>
    <w:rsid w:val="00B52FB6"/>
    <w:rsid w:val="00B5329E"/>
    <w:rsid w:val="00B537F3"/>
    <w:rsid w:val="00B53A06"/>
    <w:rsid w:val="00B54C25"/>
    <w:rsid w:val="00B55882"/>
    <w:rsid w:val="00B55B83"/>
    <w:rsid w:val="00B55BCE"/>
    <w:rsid w:val="00B56D8C"/>
    <w:rsid w:val="00B56FDE"/>
    <w:rsid w:val="00B6016A"/>
    <w:rsid w:val="00B602F4"/>
    <w:rsid w:val="00B60CFF"/>
    <w:rsid w:val="00B60E60"/>
    <w:rsid w:val="00B60F39"/>
    <w:rsid w:val="00B618AE"/>
    <w:rsid w:val="00B61AA4"/>
    <w:rsid w:val="00B62305"/>
    <w:rsid w:val="00B624A9"/>
    <w:rsid w:val="00B62DC7"/>
    <w:rsid w:val="00B6306A"/>
    <w:rsid w:val="00B641A1"/>
    <w:rsid w:val="00B65475"/>
    <w:rsid w:val="00B65563"/>
    <w:rsid w:val="00B65956"/>
    <w:rsid w:val="00B65D95"/>
    <w:rsid w:val="00B66B03"/>
    <w:rsid w:val="00B6700C"/>
    <w:rsid w:val="00B67532"/>
    <w:rsid w:val="00B67C43"/>
    <w:rsid w:val="00B67DF8"/>
    <w:rsid w:val="00B67E39"/>
    <w:rsid w:val="00B7056E"/>
    <w:rsid w:val="00B709A2"/>
    <w:rsid w:val="00B70FF9"/>
    <w:rsid w:val="00B71167"/>
    <w:rsid w:val="00B711A5"/>
    <w:rsid w:val="00B718EF"/>
    <w:rsid w:val="00B7238A"/>
    <w:rsid w:val="00B72A6D"/>
    <w:rsid w:val="00B72C56"/>
    <w:rsid w:val="00B72DC9"/>
    <w:rsid w:val="00B72DF8"/>
    <w:rsid w:val="00B7361C"/>
    <w:rsid w:val="00B73685"/>
    <w:rsid w:val="00B74014"/>
    <w:rsid w:val="00B7443E"/>
    <w:rsid w:val="00B7485C"/>
    <w:rsid w:val="00B74906"/>
    <w:rsid w:val="00B74A3D"/>
    <w:rsid w:val="00B74D90"/>
    <w:rsid w:val="00B7525E"/>
    <w:rsid w:val="00B754DC"/>
    <w:rsid w:val="00B759A7"/>
    <w:rsid w:val="00B75A06"/>
    <w:rsid w:val="00B75A1A"/>
    <w:rsid w:val="00B75A23"/>
    <w:rsid w:val="00B75E1E"/>
    <w:rsid w:val="00B75F26"/>
    <w:rsid w:val="00B75F27"/>
    <w:rsid w:val="00B76427"/>
    <w:rsid w:val="00B765CF"/>
    <w:rsid w:val="00B7684C"/>
    <w:rsid w:val="00B7770C"/>
    <w:rsid w:val="00B77A7B"/>
    <w:rsid w:val="00B805C0"/>
    <w:rsid w:val="00B80FAC"/>
    <w:rsid w:val="00B81138"/>
    <w:rsid w:val="00B81252"/>
    <w:rsid w:val="00B81A6C"/>
    <w:rsid w:val="00B81C69"/>
    <w:rsid w:val="00B82704"/>
    <w:rsid w:val="00B82BC5"/>
    <w:rsid w:val="00B82D13"/>
    <w:rsid w:val="00B83224"/>
    <w:rsid w:val="00B83640"/>
    <w:rsid w:val="00B8455E"/>
    <w:rsid w:val="00B85373"/>
    <w:rsid w:val="00B85A76"/>
    <w:rsid w:val="00B86A50"/>
    <w:rsid w:val="00B86A7F"/>
    <w:rsid w:val="00B86E28"/>
    <w:rsid w:val="00B87FC3"/>
    <w:rsid w:val="00B9038B"/>
    <w:rsid w:val="00B909DA"/>
    <w:rsid w:val="00B90AF9"/>
    <w:rsid w:val="00B90CA0"/>
    <w:rsid w:val="00B90DBE"/>
    <w:rsid w:val="00B92091"/>
    <w:rsid w:val="00B9262C"/>
    <w:rsid w:val="00B92B72"/>
    <w:rsid w:val="00B9369A"/>
    <w:rsid w:val="00B93D97"/>
    <w:rsid w:val="00B93E77"/>
    <w:rsid w:val="00B94636"/>
    <w:rsid w:val="00B946B9"/>
    <w:rsid w:val="00B94735"/>
    <w:rsid w:val="00B947C2"/>
    <w:rsid w:val="00B94A77"/>
    <w:rsid w:val="00B94BEC"/>
    <w:rsid w:val="00B94F2D"/>
    <w:rsid w:val="00B9526B"/>
    <w:rsid w:val="00B958E7"/>
    <w:rsid w:val="00B95A90"/>
    <w:rsid w:val="00B95AEA"/>
    <w:rsid w:val="00B95F22"/>
    <w:rsid w:val="00B9654B"/>
    <w:rsid w:val="00B9683F"/>
    <w:rsid w:val="00B96C27"/>
    <w:rsid w:val="00B96E8F"/>
    <w:rsid w:val="00B97843"/>
    <w:rsid w:val="00B97B37"/>
    <w:rsid w:val="00BA06E3"/>
    <w:rsid w:val="00BA0DDB"/>
    <w:rsid w:val="00BA121A"/>
    <w:rsid w:val="00BA1464"/>
    <w:rsid w:val="00BA1FB4"/>
    <w:rsid w:val="00BA222E"/>
    <w:rsid w:val="00BA24C9"/>
    <w:rsid w:val="00BA3365"/>
    <w:rsid w:val="00BA4B60"/>
    <w:rsid w:val="00BA5347"/>
    <w:rsid w:val="00BA5612"/>
    <w:rsid w:val="00BA5BED"/>
    <w:rsid w:val="00BA61F1"/>
    <w:rsid w:val="00BA6330"/>
    <w:rsid w:val="00BA658C"/>
    <w:rsid w:val="00BA7015"/>
    <w:rsid w:val="00BA7271"/>
    <w:rsid w:val="00BA7287"/>
    <w:rsid w:val="00BA743A"/>
    <w:rsid w:val="00BA758E"/>
    <w:rsid w:val="00BB0E94"/>
    <w:rsid w:val="00BB14D9"/>
    <w:rsid w:val="00BB1A39"/>
    <w:rsid w:val="00BB1ACE"/>
    <w:rsid w:val="00BB1E57"/>
    <w:rsid w:val="00BB23F5"/>
    <w:rsid w:val="00BB344F"/>
    <w:rsid w:val="00BB350A"/>
    <w:rsid w:val="00BB39B9"/>
    <w:rsid w:val="00BB4CCE"/>
    <w:rsid w:val="00BB4E9E"/>
    <w:rsid w:val="00BB50CD"/>
    <w:rsid w:val="00BB5F48"/>
    <w:rsid w:val="00BB6206"/>
    <w:rsid w:val="00BB6543"/>
    <w:rsid w:val="00BB668C"/>
    <w:rsid w:val="00BB6F9B"/>
    <w:rsid w:val="00BB7DED"/>
    <w:rsid w:val="00BB7F1B"/>
    <w:rsid w:val="00BC0758"/>
    <w:rsid w:val="00BC07EF"/>
    <w:rsid w:val="00BC0EE9"/>
    <w:rsid w:val="00BC1914"/>
    <w:rsid w:val="00BC19CA"/>
    <w:rsid w:val="00BC1D39"/>
    <w:rsid w:val="00BC2548"/>
    <w:rsid w:val="00BC2648"/>
    <w:rsid w:val="00BC3671"/>
    <w:rsid w:val="00BC3AE6"/>
    <w:rsid w:val="00BC3F40"/>
    <w:rsid w:val="00BC4224"/>
    <w:rsid w:val="00BC42A0"/>
    <w:rsid w:val="00BC4AA7"/>
    <w:rsid w:val="00BC4AD0"/>
    <w:rsid w:val="00BC4FE3"/>
    <w:rsid w:val="00BC5401"/>
    <w:rsid w:val="00BC5CC3"/>
    <w:rsid w:val="00BC5EC1"/>
    <w:rsid w:val="00BC6180"/>
    <w:rsid w:val="00BC679D"/>
    <w:rsid w:val="00BC6E25"/>
    <w:rsid w:val="00BC75E7"/>
    <w:rsid w:val="00BD034F"/>
    <w:rsid w:val="00BD0F84"/>
    <w:rsid w:val="00BD12DE"/>
    <w:rsid w:val="00BD136B"/>
    <w:rsid w:val="00BD16D8"/>
    <w:rsid w:val="00BD1B12"/>
    <w:rsid w:val="00BD1DC6"/>
    <w:rsid w:val="00BD2C56"/>
    <w:rsid w:val="00BD2E61"/>
    <w:rsid w:val="00BD2F10"/>
    <w:rsid w:val="00BD397E"/>
    <w:rsid w:val="00BD4BA8"/>
    <w:rsid w:val="00BD4CA3"/>
    <w:rsid w:val="00BD543A"/>
    <w:rsid w:val="00BD54D9"/>
    <w:rsid w:val="00BD5B19"/>
    <w:rsid w:val="00BD64C4"/>
    <w:rsid w:val="00BD67B7"/>
    <w:rsid w:val="00BD6884"/>
    <w:rsid w:val="00BD6B33"/>
    <w:rsid w:val="00BD6CF3"/>
    <w:rsid w:val="00BD7102"/>
    <w:rsid w:val="00BE0F22"/>
    <w:rsid w:val="00BE1A56"/>
    <w:rsid w:val="00BE1B76"/>
    <w:rsid w:val="00BE221F"/>
    <w:rsid w:val="00BE2B37"/>
    <w:rsid w:val="00BE35FA"/>
    <w:rsid w:val="00BE3932"/>
    <w:rsid w:val="00BE3EB7"/>
    <w:rsid w:val="00BE407F"/>
    <w:rsid w:val="00BE4095"/>
    <w:rsid w:val="00BE427F"/>
    <w:rsid w:val="00BE42FA"/>
    <w:rsid w:val="00BE43C9"/>
    <w:rsid w:val="00BE4ED9"/>
    <w:rsid w:val="00BE530B"/>
    <w:rsid w:val="00BE5E22"/>
    <w:rsid w:val="00BE5FE8"/>
    <w:rsid w:val="00BE7F01"/>
    <w:rsid w:val="00BF0BD5"/>
    <w:rsid w:val="00BF0DA0"/>
    <w:rsid w:val="00BF10CE"/>
    <w:rsid w:val="00BF196B"/>
    <w:rsid w:val="00BF1A9F"/>
    <w:rsid w:val="00BF1EE5"/>
    <w:rsid w:val="00BF2410"/>
    <w:rsid w:val="00BF282C"/>
    <w:rsid w:val="00BF400A"/>
    <w:rsid w:val="00BF401F"/>
    <w:rsid w:val="00BF499C"/>
    <w:rsid w:val="00BF4ED5"/>
    <w:rsid w:val="00BF5320"/>
    <w:rsid w:val="00BF5A06"/>
    <w:rsid w:val="00BF5AFF"/>
    <w:rsid w:val="00BF5E3E"/>
    <w:rsid w:val="00BF6436"/>
    <w:rsid w:val="00BF657B"/>
    <w:rsid w:val="00BF6C5E"/>
    <w:rsid w:val="00BF6EAD"/>
    <w:rsid w:val="00BF7668"/>
    <w:rsid w:val="00BF7952"/>
    <w:rsid w:val="00C0142F"/>
    <w:rsid w:val="00C016C5"/>
    <w:rsid w:val="00C0187D"/>
    <w:rsid w:val="00C01A22"/>
    <w:rsid w:val="00C0278C"/>
    <w:rsid w:val="00C02C7C"/>
    <w:rsid w:val="00C0496A"/>
    <w:rsid w:val="00C051C6"/>
    <w:rsid w:val="00C05777"/>
    <w:rsid w:val="00C0589C"/>
    <w:rsid w:val="00C05BC6"/>
    <w:rsid w:val="00C0602A"/>
    <w:rsid w:val="00C06187"/>
    <w:rsid w:val="00C06DA8"/>
    <w:rsid w:val="00C06DFE"/>
    <w:rsid w:val="00C06F3E"/>
    <w:rsid w:val="00C0725C"/>
    <w:rsid w:val="00C07290"/>
    <w:rsid w:val="00C07844"/>
    <w:rsid w:val="00C07E7D"/>
    <w:rsid w:val="00C101F4"/>
    <w:rsid w:val="00C102CF"/>
    <w:rsid w:val="00C10585"/>
    <w:rsid w:val="00C10B14"/>
    <w:rsid w:val="00C10BF5"/>
    <w:rsid w:val="00C112A3"/>
    <w:rsid w:val="00C11736"/>
    <w:rsid w:val="00C11E31"/>
    <w:rsid w:val="00C11E8E"/>
    <w:rsid w:val="00C11FB3"/>
    <w:rsid w:val="00C12902"/>
    <w:rsid w:val="00C129E7"/>
    <w:rsid w:val="00C12B7E"/>
    <w:rsid w:val="00C135E9"/>
    <w:rsid w:val="00C13F33"/>
    <w:rsid w:val="00C14658"/>
    <w:rsid w:val="00C15059"/>
    <w:rsid w:val="00C1505B"/>
    <w:rsid w:val="00C1528A"/>
    <w:rsid w:val="00C15390"/>
    <w:rsid w:val="00C156B4"/>
    <w:rsid w:val="00C15C81"/>
    <w:rsid w:val="00C161A6"/>
    <w:rsid w:val="00C161BA"/>
    <w:rsid w:val="00C163C0"/>
    <w:rsid w:val="00C17133"/>
    <w:rsid w:val="00C17223"/>
    <w:rsid w:val="00C17A3E"/>
    <w:rsid w:val="00C17B7F"/>
    <w:rsid w:val="00C20355"/>
    <w:rsid w:val="00C20612"/>
    <w:rsid w:val="00C207C8"/>
    <w:rsid w:val="00C20947"/>
    <w:rsid w:val="00C20B49"/>
    <w:rsid w:val="00C20CFC"/>
    <w:rsid w:val="00C214CA"/>
    <w:rsid w:val="00C21AC9"/>
    <w:rsid w:val="00C21B72"/>
    <w:rsid w:val="00C21D0F"/>
    <w:rsid w:val="00C21E08"/>
    <w:rsid w:val="00C22AB7"/>
    <w:rsid w:val="00C22DC7"/>
    <w:rsid w:val="00C22E38"/>
    <w:rsid w:val="00C23161"/>
    <w:rsid w:val="00C23211"/>
    <w:rsid w:val="00C236A0"/>
    <w:rsid w:val="00C23FEE"/>
    <w:rsid w:val="00C24F82"/>
    <w:rsid w:val="00C25665"/>
    <w:rsid w:val="00C2571E"/>
    <w:rsid w:val="00C257A9"/>
    <w:rsid w:val="00C26F5E"/>
    <w:rsid w:val="00C271D3"/>
    <w:rsid w:val="00C275AE"/>
    <w:rsid w:val="00C30048"/>
    <w:rsid w:val="00C301F4"/>
    <w:rsid w:val="00C303E0"/>
    <w:rsid w:val="00C30BA1"/>
    <w:rsid w:val="00C31546"/>
    <w:rsid w:val="00C3178A"/>
    <w:rsid w:val="00C31942"/>
    <w:rsid w:val="00C31C15"/>
    <w:rsid w:val="00C32313"/>
    <w:rsid w:val="00C32574"/>
    <w:rsid w:val="00C327AF"/>
    <w:rsid w:val="00C33EB9"/>
    <w:rsid w:val="00C33EF7"/>
    <w:rsid w:val="00C33FEC"/>
    <w:rsid w:val="00C34196"/>
    <w:rsid w:val="00C3426E"/>
    <w:rsid w:val="00C3506C"/>
    <w:rsid w:val="00C3527A"/>
    <w:rsid w:val="00C3550A"/>
    <w:rsid w:val="00C35C02"/>
    <w:rsid w:val="00C35C24"/>
    <w:rsid w:val="00C35F2B"/>
    <w:rsid w:val="00C360C8"/>
    <w:rsid w:val="00C366BC"/>
    <w:rsid w:val="00C367BB"/>
    <w:rsid w:val="00C3708D"/>
    <w:rsid w:val="00C3790D"/>
    <w:rsid w:val="00C407AC"/>
    <w:rsid w:val="00C40F01"/>
    <w:rsid w:val="00C41558"/>
    <w:rsid w:val="00C41C0C"/>
    <w:rsid w:val="00C41EAB"/>
    <w:rsid w:val="00C421D0"/>
    <w:rsid w:val="00C428C4"/>
    <w:rsid w:val="00C42B17"/>
    <w:rsid w:val="00C42EFF"/>
    <w:rsid w:val="00C43000"/>
    <w:rsid w:val="00C43539"/>
    <w:rsid w:val="00C43BE1"/>
    <w:rsid w:val="00C45105"/>
    <w:rsid w:val="00C4547D"/>
    <w:rsid w:val="00C45768"/>
    <w:rsid w:val="00C45C13"/>
    <w:rsid w:val="00C46627"/>
    <w:rsid w:val="00C46ABA"/>
    <w:rsid w:val="00C46C57"/>
    <w:rsid w:val="00C46F54"/>
    <w:rsid w:val="00C47063"/>
    <w:rsid w:val="00C500AD"/>
    <w:rsid w:val="00C50356"/>
    <w:rsid w:val="00C50D2E"/>
    <w:rsid w:val="00C5153C"/>
    <w:rsid w:val="00C51E88"/>
    <w:rsid w:val="00C51FC6"/>
    <w:rsid w:val="00C52045"/>
    <w:rsid w:val="00C53886"/>
    <w:rsid w:val="00C539C9"/>
    <w:rsid w:val="00C544BD"/>
    <w:rsid w:val="00C5482D"/>
    <w:rsid w:val="00C54C84"/>
    <w:rsid w:val="00C54E42"/>
    <w:rsid w:val="00C55AC3"/>
    <w:rsid w:val="00C55B8B"/>
    <w:rsid w:val="00C55CA9"/>
    <w:rsid w:val="00C55D98"/>
    <w:rsid w:val="00C56869"/>
    <w:rsid w:val="00C568AD"/>
    <w:rsid w:val="00C56A70"/>
    <w:rsid w:val="00C57555"/>
    <w:rsid w:val="00C6034C"/>
    <w:rsid w:val="00C60468"/>
    <w:rsid w:val="00C60CB0"/>
    <w:rsid w:val="00C610A7"/>
    <w:rsid w:val="00C61B64"/>
    <w:rsid w:val="00C62451"/>
    <w:rsid w:val="00C627C0"/>
    <w:rsid w:val="00C62C30"/>
    <w:rsid w:val="00C631B4"/>
    <w:rsid w:val="00C632FC"/>
    <w:rsid w:val="00C63E64"/>
    <w:rsid w:val="00C63F29"/>
    <w:rsid w:val="00C6403C"/>
    <w:rsid w:val="00C64551"/>
    <w:rsid w:val="00C645A6"/>
    <w:rsid w:val="00C650CB"/>
    <w:rsid w:val="00C65259"/>
    <w:rsid w:val="00C65790"/>
    <w:rsid w:val="00C65A7C"/>
    <w:rsid w:val="00C65C4F"/>
    <w:rsid w:val="00C65DF2"/>
    <w:rsid w:val="00C66AAA"/>
    <w:rsid w:val="00C66D2F"/>
    <w:rsid w:val="00C677D9"/>
    <w:rsid w:val="00C67D66"/>
    <w:rsid w:val="00C67FA0"/>
    <w:rsid w:val="00C702F2"/>
    <w:rsid w:val="00C7056C"/>
    <w:rsid w:val="00C711CD"/>
    <w:rsid w:val="00C714BE"/>
    <w:rsid w:val="00C71564"/>
    <w:rsid w:val="00C7187D"/>
    <w:rsid w:val="00C71D5E"/>
    <w:rsid w:val="00C72993"/>
    <w:rsid w:val="00C729C5"/>
    <w:rsid w:val="00C72B52"/>
    <w:rsid w:val="00C72D70"/>
    <w:rsid w:val="00C72E19"/>
    <w:rsid w:val="00C750E3"/>
    <w:rsid w:val="00C755A0"/>
    <w:rsid w:val="00C756D2"/>
    <w:rsid w:val="00C75E04"/>
    <w:rsid w:val="00C75E1C"/>
    <w:rsid w:val="00C76010"/>
    <w:rsid w:val="00C7638E"/>
    <w:rsid w:val="00C76804"/>
    <w:rsid w:val="00C76E8C"/>
    <w:rsid w:val="00C77153"/>
    <w:rsid w:val="00C776F3"/>
    <w:rsid w:val="00C778B9"/>
    <w:rsid w:val="00C779AF"/>
    <w:rsid w:val="00C77B40"/>
    <w:rsid w:val="00C802D2"/>
    <w:rsid w:val="00C8045D"/>
    <w:rsid w:val="00C80D3C"/>
    <w:rsid w:val="00C80EC2"/>
    <w:rsid w:val="00C812D2"/>
    <w:rsid w:val="00C813CA"/>
    <w:rsid w:val="00C816C1"/>
    <w:rsid w:val="00C81A1C"/>
    <w:rsid w:val="00C81CC7"/>
    <w:rsid w:val="00C82092"/>
    <w:rsid w:val="00C82425"/>
    <w:rsid w:val="00C82C76"/>
    <w:rsid w:val="00C83484"/>
    <w:rsid w:val="00C834AD"/>
    <w:rsid w:val="00C838F8"/>
    <w:rsid w:val="00C83E1A"/>
    <w:rsid w:val="00C83F25"/>
    <w:rsid w:val="00C84BF1"/>
    <w:rsid w:val="00C84EF1"/>
    <w:rsid w:val="00C851DA"/>
    <w:rsid w:val="00C8575D"/>
    <w:rsid w:val="00C85972"/>
    <w:rsid w:val="00C85CFB"/>
    <w:rsid w:val="00C866C8"/>
    <w:rsid w:val="00C86EA6"/>
    <w:rsid w:val="00C87864"/>
    <w:rsid w:val="00C87AF7"/>
    <w:rsid w:val="00C87BD9"/>
    <w:rsid w:val="00C87EE9"/>
    <w:rsid w:val="00C907DC"/>
    <w:rsid w:val="00C90BF5"/>
    <w:rsid w:val="00C910E1"/>
    <w:rsid w:val="00C91625"/>
    <w:rsid w:val="00C93E2A"/>
    <w:rsid w:val="00C94542"/>
    <w:rsid w:val="00C94AE0"/>
    <w:rsid w:val="00C94DA8"/>
    <w:rsid w:val="00C955F8"/>
    <w:rsid w:val="00C95B94"/>
    <w:rsid w:val="00C9623E"/>
    <w:rsid w:val="00C96E4B"/>
    <w:rsid w:val="00C973BE"/>
    <w:rsid w:val="00C97FB1"/>
    <w:rsid w:val="00CA07EA"/>
    <w:rsid w:val="00CA0960"/>
    <w:rsid w:val="00CA0D8E"/>
    <w:rsid w:val="00CA0F22"/>
    <w:rsid w:val="00CA17C5"/>
    <w:rsid w:val="00CA1DEE"/>
    <w:rsid w:val="00CA2141"/>
    <w:rsid w:val="00CA2C59"/>
    <w:rsid w:val="00CA2EEB"/>
    <w:rsid w:val="00CA4646"/>
    <w:rsid w:val="00CA4958"/>
    <w:rsid w:val="00CA4C24"/>
    <w:rsid w:val="00CA4C9D"/>
    <w:rsid w:val="00CA5835"/>
    <w:rsid w:val="00CA58CB"/>
    <w:rsid w:val="00CA62B1"/>
    <w:rsid w:val="00CA68FB"/>
    <w:rsid w:val="00CA6B3F"/>
    <w:rsid w:val="00CA6EF0"/>
    <w:rsid w:val="00CA7215"/>
    <w:rsid w:val="00CA7597"/>
    <w:rsid w:val="00CA7C20"/>
    <w:rsid w:val="00CA7F28"/>
    <w:rsid w:val="00CB084D"/>
    <w:rsid w:val="00CB0888"/>
    <w:rsid w:val="00CB0904"/>
    <w:rsid w:val="00CB185D"/>
    <w:rsid w:val="00CB1B30"/>
    <w:rsid w:val="00CB1BC3"/>
    <w:rsid w:val="00CB23E0"/>
    <w:rsid w:val="00CB2740"/>
    <w:rsid w:val="00CB2B7A"/>
    <w:rsid w:val="00CB2DF9"/>
    <w:rsid w:val="00CB2E81"/>
    <w:rsid w:val="00CB342C"/>
    <w:rsid w:val="00CB4B15"/>
    <w:rsid w:val="00CB4BAF"/>
    <w:rsid w:val="00CB54B5"/>
    <w:rsid w:val="00CB5BFF"/>
    <w:rsid w:val="00CB617E"/>
    <w:rsid w:val="00CB65E2"/>
    <w:rsid w:val="00CB7095"/>
    <w:rsid w:val="00CB70D9"/>
    <w:rsid w:val="00CB7828"/>
    <w:rsid w:val="00CB7A20"/>
    <w:rsid w:val="00CC11A9"/>
    <w:rsid w:val="00CC1F78"/>
    <w:rsid w:val="00CC21E0"/>
    <w:rsid w:val="00CC2FCF"/>
    <w:rsid w:val="00CC3F38"/>
    <w:rsid w:val="00CC410D"/>
    <w:rsid w:val="00CC4343"/>
    <w:rsid w:val="00CC4994"/>
    <w:rsid w:val="00CC5307"/>
    <w:rsid w:val="00CC5444"/>
    <w:rsid w:val="00CC57FD"/>
    <w:rsid w:val="00CC5804"/>
    <w:rsid w:val="00CC5D8A"/>
    <w:rsid w:val="00CC6138"/>
    <w:rsid w:val="00CC6348"/>
    <w:rsid w:val="00CC66A0"/>
    <w:rsid w:val="00CC6784"/>
    <w:rsid w:val="00CC6960"/>
    <w:rsid w:val="00CC6DD8"/>
    <w:rsid w:val="00CC6E4B"/>
    <w:rsid w:val="00CC6F24"/>
    <w:rsid w:val="00CC6FBE"/>
    <w:rsid w:val="00CC72C6"/>
    <w:rsid w:val="00CC7F3E"/>
    <w:rsid w:val="00CD02B8"/>
    <w:rsid w:val="00CD037C"/>
    <w:rsid w:val="00CD07B6"/>
    <w:rsid w:val="00CD1AE2"/>
    <w:rsid w:val="00CD2691"/>
    <w:rsid w:val="00CD3FBB"/>
    <w:rsid w:val="00CD414B"/>
    <w:rsid w:val="00CD4C4C"/>
    <w:rsid w:val="00CD4EEE"/>
    <w:rsid w:val="00CD4F4F"/>
    <w:rsid w:val="00CD50DC"/>
    <w:rsid w:val="00CD5D68"/>
    <w:rsid w:val="00CD5DAF"/>
    <w:rsid w:val="00CD67C7"/>
    <w:rsid w:val="00CD690F"/>
    <w:rsid w:val="00CD6ACC"/>
    <w:rsid w:val="00CD6B8E"/>
    <w:rsid w:val="00CD76E7"/>
    <w:rsid w:val="00CD7DC2"/>
    <w:rsid w:val="00CE14C8"/>
    <w:rsid w:val="00CE15E4"/>
    <w:rsid w:val="00CE19B7"/>
    <w:rsid w:val="00CE1F3D"/>
    <w:rsid w:val="00CE20AD"/>
    <w:rsid w:val="00CE2E4C"/>
    <w:rsid w:val="00CE320E"/>
    <w:rsid w:val="00CE380F"/>
    <w:rsid w:val="00CE520B"/>
    <w:rsid w:val="00CE5602"/>
    <w:rsid w:val="00CE595D"/>
    <w:rsid w:val="00CE5B95"/>
    <w:rsid w:val="00CE5F02"/>
    <w:rsid w:val="00CE5FE4"/>
    <w:rsid w:val="00CE728C"/>
    <w:rsid w:val="00CE74C7"/>
    <w:rsid w:val="00CE771C"/>
    <w:rsid w:val="00CE77F4"/>
    <w:rsid w:val="00CE7864"/>
    <w:rsid w:val="00CF12E7"/>
    <w:rsid w:val="00CF1384"/>
    <w:rsid w:val="00CF1AFC"/>
    <w:rsid w:val="00CF4198"/>
    <w:rsid w:val="00CF4BDB"/>
    <w:rsid w:val="00CF4F3A"/>
    <w:rsid w:val="00CF4F98"/>
    <w:rsid w:val="00CF5C51"/>
    <w:rsid w:val="00CF60AC"/>
    <w:rsid w:val="00CF6B66"/>
    <w:rsid w:val="00CF71CE"/>
    <w:rsid w:val="00CF7293"/>
    <w:rsid w:val="00CF7838"/>
    <w:rsid w:val="00CF7D97"/>
    <w:rsid w:val="00D0017F"/>
    <w:rsid w:val="00D006DD"/>
    <w:rsid w:val="00D00915"/>
    <w:rsid w:val="00D0195C"/>
    <w:rsid w:val="00D01AB5"/>
    <w:rsid w:val="00D02A94"/>
    <w:rsid w:val="00D02F7E"/>
    <w:rsid w:val="00D03395"/>
    <w:rsid w:val="00D034AA"/>
    <w:rsid w:val="00D03764"/>
    <w:rsid w:val="00D03DD2"/>
    <w:rsid w:val="00D042B2"/>
    <w:rsid w:val="00D04530"/>
    <w:rsid w:val="00D0458D"/>
    <w:rsid w:val="00D04A99"/>
    <w:rsid w:val="00D055F5"/>
    <w:rsid w:val="00D05926"/>
    <w:rsid w:val="00D06271"/>
    <w:rsid w:val="00D06882"/>
    <w:rsid w:val="00D07AEF"/>
    <w:rsid w:val="00D07EBA"/>
    <w:rsid w:val="00D10FAA"/>
    <w:rsid w:val="00D11190"/>
    <w:rsid w:val="00D11535"/>
    <w:rsid w:val="00D11BAD"/>
    <w:rsid w:val="00D1210E"/>
    <w:rsid w:val="00D1285C"/>
    <w:rsid w:val="00D131E7"/>
    <w:rsid w:val="00D1326C"/>
    <w:rsid w:val="00D1386D"/>
    <w:rsid w:val="00D139A7"/>
    <w:rsid w:val="00D147A1"/>
    <w:rsid w:val="00D14E54"/>
    <w:rsid w:val="00D15455"/>
    <w:rsid w:val="00D15C0E"/>
    <w:rsid w:val="00D15E95"/>
    <w:rsid w:val="00D15F00"/>
    <w:rsid w:val="00D160DE"/>
    <w:rsid w:val="00D16341"/>
    <w:rsid w:val="00D16807"/>
    <w:rsid w:val="00D1680E"/>
    <w:rsid w:val="00D1722E"/>
    <w:rsid w:val="00D20145"/>
    <w:rsid w:val="00D207AD"/>
    <w:rsid w:val="00D20F32"/>
    <w:rsid w:val="00D22175"/>
    <w:rsid w:val="00D22A7A"/>
    <w:rsid w:val="00D23D2E"/>
    <w:rsid w:val="00D241E1"/>
    <w:rsid w:val="00D24983"/>
    <w:rsid w:val="00D24E61"/>
    <w:rsid w:val="00D256B2"/>
    <w:rsid w:val="00D256CA"/>
    <w:rsid w:val="00D259BE"/>
    <w:rsid w:val="00D25F47"/>
    <w:rsid w:val="00D25FB4"/>
    <w:rsid w:val="00D26425"/>
    <w:rsid w:val="00D26E23"/>
    <w:rsid w:val="00D2732A"/>
    <w:rsid w:val="00D30187"/>
    <w:rsid w:val="00D3045B"/>
    <w:rsid w:val="00D30647"/>
    <w:rsid w:val="00D306B6"/>
    <w:rsid w:val="00D30747"/>
    <w:rsid w:val="00D30AA4"/>
    <w:rsid w:val="00D30DB1"/>
    <w:rsid w:val="00D31976"/>
    <w:rsid w:val="00D31CB5"/>
    <w:rsid w:val="00D31E29"/>
    <w:rsid w:val="00D3208C"/>
    <w:rsid w:val="00D3225C"/>
    <w:rsid w:val="00D328CD"/>
    <w:rsid w:val="00D32B3C"/>
    <w:rsid w:val="00D32E73"/>
    <w:rsid w:val="00D32F91"/>
    <w:rsid w:val="00D33693"/>
    <w:rsid w:val="00D33BF7"/>
    <w:rsid w:val="00D33CD1"/>
    <w:rsid w:val="00D33D34"/>
    <w:rsid w:val="00D33DBF"/>
    <w:rsid w:val="00D34A09"/>
    <w:rsid w:val="00D34B8D"/>
    <w:rsid w:val="00D34E53"/>
    <w:rsid w:val="00D34FD3"/>
    <w:rsid w:val="00D358C5"/>
    <w:rsid w:val="00D36023"/>
    <w:rsid w:val="00D36509"/>
    <w:rsid w:val="00D36790"/>
    <w:rsid w:val="00D40A90"/>
    <w:rsid w:val="00D410E8"/>
    <w:rsid w:val="00D41FB7"/>
    <w:rsid w:val="00D42255"/>
    <w:rsid w:val="00D426E6"/>
    <w:rsid w:val="00D42A6B"/>
    <w:rsid w:val="00D4306D"/>
    <w:rsid w:val="00D43468"/>
    <w:rsid w:val="00D43837"/>
    <w:rsid w:val="00D4398A"/>
    <w:rsid w:val="00D4402D"/>
    <w:rsid w:val="00D4458A"/>
    <w:rsid w:val="00D447C0"/>
    <w:rsid w:val="00D45138"/>
    <w:rsid w:val="00D4529C"/>
    <w:rsid w:val="00D45693"/>
    <w:rsid w:val="00D45DBA"/>
    <w:rsid w:val="00D468D5"/>
    <w:rsid w:val="00D469EF"/>
    <w:rsid w:val="00D47601"/>
    <w:rsid w:val="00D47658"/>
    <w:rsid w:val="00D513B8"/>
    <w:rsid w:val="00D5223D"/>
    <w:rsid w:val="00D52EDA"/>
    <w:rsid w:val="00D53873"/>
    <w:rsid w:val="00D53B26"/>
    <w:rsid w:val="00D53E77"/>
    <w:rsid w:val="00D543F2"/>
    <w:rsid w:val="00D54D26"/>
    <w:rsid w:val="00D55741"/>
    <w:rsid w:val="00D55797"/>
    <w:rsid w:val="00D55E70"/>
    <w:rsid w:val="00D568D3"/>
    <w:rsid w:val="00D569FF"/>
    <w:rsid w:val="00D56F69"/>
    <w:rsid w:val="00D5702F"/>
    <w:rsid w:val="00D57055"/>
    <w:rsid w:val="00D5726A"/>
    <w:rsid w:val="00D5774B"/>
    <w:rsid w:val="00D57B92"/>
    <w:rsid w:val="00D600A8"/>
    <w:rsid w:val="00D603D3"/>
    <w:rsid w:val="00D604EB"/>
    <w:rsid w:val="00D60DC6"/>
    <w:rsid w:val="00D61292"/>
    <w:rsid w:val="00D612C3"/>
    <w:rsid w:val="00D61523"/>
    <w:rsid w:val="00D61B5B"/>
    <w:rsid w:val="00D61D8A"/>
    <w:rsid w:val="00D61FBD"/>
    <w:rsid w:val="00D62A42"/>
    <w:rsid w:val="00D62EBE"/>
    <w:rsid w:val="00D63247"/>
    <w:rsid w:val="00D63A50"/>
    <w:rsid w:val="00D63EB3"/>
    <w:rsid w:val="00D641EC"/>
    <w:rsid w:val="00D65439"/>
    <w:rsid w:val="00D65F0F"/>
    <w:rsid w:val="00D66203"/>
    <w:rsid w:val="00D666BD"/>
    <w:rsid w:val="00D66838"/>
    <w:rsid w:val="00D66845"/>
    <w:rsid w:val="00D66DC1"/>
    <w:rsid w:val="00D66ED1"/>
    <w:rsid w:val="00D66FF0"/>
    <w:rsid w:val="00D67102"/>
    <w:rsid w:val="00D67C37"/>
    <w:rsid w:val="00D71A32"/>
    <w:rsid w:val="00D71BF7"/>
    <w:rsid w:val="00D727A4"/>
    <w:rsid w:val="00D7281C"/>
    <w:rsid w:val="00D72926"/>
    <w:rsid w:val="00D73676"/>
    <w:rsid w:val="00D739C6"/>
    <w:rsid w:val="00D73AD1"/>
    <w:rsid w:val="00D73CCA"/>
    <w:rsid w:val="00D74531"/>
    <w:rsid w:val="00D74D90"/>
    <w:rsid w:val="00D74FB2"/>
    <w:rsid w:val="00D750A6"/>
    <w:rsid w:val="00D757BE"/>
    <w:rsid w:val="00D75B89"/>
    <w:rsid w:val="00D76CA2"/>
    <w:rsid w:val="00D77008"/>
    <w:rsid w:val="00D77C5B"/>
    <w:rsid w:val="00D77D10"/>
    <w:rsid w:val="00D8108A"/>
    <w:rsid w:val="00D811FA"/>
    <w:rsid w:val="00D81A17"/>
    <w:rsid w:val="00D8209A"/>
    <w:rsid w:val="00D823B9"/>
    <w:rsid w:val="00D825EE"/>
    <w:rsid w:val="00D82874"/>
    <w:rsid w:val="00D82B54"/>
    <w:rsid w:val="00D82D46"/>
    <w:rsid w:val="00D83592"/>
    <w:rsid w:val="00D836A5"/>
    <w:rsid w:val="00D8383C"/>
    <w:rsid w:val="00D83863"/>
    <w:rsid w:val="00D83916"/>
    <w:rsid w:val="00D83A2C"/>
    <w:rsid w:val="00D83BDA"/>
    <w:rsid w:val="00D843FC"/>
    <w:rsid w:val="00D8494D"/>
    <w:rsid w:val="00D84D1B"/>
    <w:rsid w:val="00D85040"/>
    <w:rsid w:val="00D85205"/>
    <w:rsid w:val="00D85FEA"/>
    <w:rsid w:val="00D864E1"/>
    <w:rsid w:val="00D86741"/>
    <w:rsid w:val="00D86820"/>
    <w:rsid w:val="00D86CE3"/>
    <w:rsid w:val="00D86FEB"/>
    <w:rsid w:val="00D8727C"/>
    <w:rsid w:val="00D87848"/>
    <w:rsid w:val="00D87D5B"/>
    <w:rsid w:val="00D9009D"/>
    <w:rsid w:val="00D90CA4"/>
    <w:rsid w:val="00D90DE2"/>
    <w:rsid w:val="00D9179E"/>
    <w:rsid w:val="00D918FC"/>
    <w:rsid w:val="00D91C83"/>
    <w:rsid w:val="00D92061"/>
    <w:rsid w:val="00D92428"/>
    <w:rsid w:val="00D92AFA"/>
    <w:rsid w:val="00D92CD0"/>
    <w:rsid w:val="00D9356B"/>
    <w:rsid w:val="00D93867"/>
    <w:rsid w:val="00D93CCD"/>
    <w:rsid w:val="00D9440D"/>
    <w:rsid w:val="00D94990"/>
    <w:rsid w:val="00D949CD"/>
    <w:rsid w:val="00D9534C"/>
    <w:rsid w:val="00D95671"/>
    <w:rsid w:val="00D95C0F"/>
    <w:rsid w:val="00D95F7D"/>
    <w:rsid w:val="00D9609D"/>
    <w:rsid w:val="00D96392"/>
    <w:rsid w:val="00D9740B"/>
    <w:rsid w:val="00D97CB9"/>
    <w:rsid w:val="00D97FC6"/>
    <w:rsid w:val="00DA0279"/>
    <w:rsid w:val="00DA04D0"/>
    <w:rsid w:val="00DA0AC2"/>
    <w:rsid w:val="00DA11C3"/>
    <w:rsid w:val="00DA126D"/>
    <w:rsid w:val="00DA1725"/>
    <w:rsid w:val="00DA25DE"/>
    <w:rsid w:val="00DA31D7"/>
    <w:rsid w:val="00DA350E"/>
    <w:rsid w:val="00DA3AE2"/>
    <w:rsid w:val="00DA3F12"/>
    <w:rsid w:val="00DA438E"/>
    <w:rsid w:val="00DA5604"/>
    <w:rsid w:val="00DA5927"/>
    <w:rsid w:val="00DA5B82"/>
    <w:rsid w:val="00DA621D"/>
    <w:rsid w:val="00DA62A9"/>
    <w:rsid w:val="00DA699C"/>
    <w:rsid w:val="00DA6B04"/>
    <w:rsid w:val="00DA70C9"/>
    <w:rsid w:val="00DA759C"/>
    <w:rsid w:val="00DA76EB"/>
    <w:rsid w:val="00DA7900"/>
    <w:rsid w:val="00DB098B"/>
    <w:rsid w:val="00DB0C2F"/>
    <w:rsid w:val="00DB0D71"/>
    <w:rsid w:val="00DB1273"/>
    <w:rsid w:val="00DB17B7"/>
    <w:rsid w:val="00DB1A1B"/>
    <w:rsid w:val="00DB1DFA"/>
    <w:rsid w:val="00DB276E"/>
    <w:rsid w:val="00DB2997"/>
    <w:rsid w:val="00DB2B34"/>
    <w:rsid w:val="00DB31B0"/>
    <w:rsid w:val="00DB3219"/>
    <w:rsid w:val="00DB370E"/>
    <w:rsid w:val="00DB3942"/>
    <w:rsid w:val="00DB3958"/>
    <w:rsid w:val="00DB3CC1"/>
    <w:rsid w:val="00DB4628"/>
    <w:rsid w:val="00DB502B"/>
    <w:rsid w:val="00DB5035"/>
    <w:rsid w:val="00DB53BC"/>
    <w:rsid w:val="00DB5CF7"/>
    <w:rsid w:val="00DB6183"/>
    <w:rsid w:val="00DB6E83"/>
    <w:rsid w:val="00DB76E0"/>
    <w:rsid w:val="00DB7CD7"/>
    <w:rsid w:val="00DB7E64"/>
    <w:rsid w:val="00DC0BD5"/>
    <w:rsid w:val="00DC28E6"/>
    <w:rsid w:val="00DC3196"/>
    <w:rsid w:val="00DC3511"/>
    <w:rsid w:val="00DC3649"/>
    <w:rsid w:val="00DC4389"/>
    <w:rsid w:val="00DC44D5"/>
    <w:rsid w:val="00DC4776"/>
    <w:rsid w:val="00DC4ACA"/>
    <w:rsid w:val="00DC5106"/>
    <w:rsid w:val="00DC523B"/>
    <w:rsid w:val="00DC5297"/>
    <w:rsid w:val="00DC52C9"/>
    <w:rsid w:val="00DC55B9"/>
    <w:rsid w:val="00DC568C"/>
    <w:rsid w:val="00DC57B4"/>
    <w:rsid w:val="00DC69FC"/>
    <w:rsid w:val="00DC6AA4"/>
    <w:rsid w:val="00DC6AFA"/>
    <w:rsid w:val="00DC6FAF"/>
    <w:rsid w:val="00DC7012"/>
    <w:rsid w:val="00DC7C5A"/>
    <w:rsid w:val="00DD06E6"/>
    <w:rsid w:val="00DD0960"/>
    <w:rsid w:val="00DD1703"/>
    <w:rsid w:val="00DD1870"/>
    <w:rsid w:val="00DD1F2C"/>
    <w:rsid w:val="00DD200B"/>
    <w:rsid w:val="00DD2277"/>
    <w:rsid w:val="00DD2551"/>
    <w:rsid w:val="00DD3358"/>
    <w:rsid w:val="00DD3A55"/>
    <w:rsid w:val="00DD3C77"/>
    <w:rsid w:val="00DD47CE"/>
    <w:rsid w:val="00DD4B06"/>
    <w:rsid w:val="00DD5511"/>
    <w:rsid w:val="00DD57F1"/>
    <w:rsid w:val="00DD5A9C"/>
    <w:rsid w:val="00DD63E1"/>
    <w:rsid w:val="00DD649E"/>
    <w:rsid w:val="00DD697F"/>
    <w:rsid w:val="00DD7528"/>
    <w:rsid w:val="00DD75B9"/>
    <w:rsid w:val="00DD773C"/>
    <w:rsid w:val="00DD7FAA"/>
    <w:rsid w:val="00DE0226"/>
    <w:rsid w:val="00DE03C4"/>
    <w:rsid w:val="00DE1A3E"/>
    <w:rsid w:val="00DE225A"/>
    <w:rsid w:val="00DE2336"/>
    <w:rsid w:val="00DE26AF"/>
    <w:rsid w:val="00DE2899"/>
    <w:rsid w:val="00DE3525"/>
    <w:rsid w:val="00DE3F98"/>
    <w:rsid w:val="00DE4327"/>
    <w:rsid w:val="00DE4C36"/>
    <w:rsid w:val="00DE4DDE"/>
    <w:rsid w:val="00DE50B6"/>
    <w:rsid w:val="00DE5B29"/>
    <w:rsid w:val="00DE6314"/>
    <w:rsid w:val="00DE6C70"/>
    <w:rsid w:val="00DE6FDB"/>
    <w:rsid w:val="00DE73B4"/>
    <w:rsid w:val="00DE7DFE"/>
    <w:rsid w:val="00DE7F72"/>
    <w:rsid w:val="00DF07BA"/>
    <w:rsid w:val="00DF1749"/>
    <w:rsid w:val="00DF2825"/>
    <w:rsid w:val="00DF2A73"/>
    <w:rsid w:val="00DF348E"/>
    <w:rsid w:val="00DF3857"/>
    <w:rsid w:val="00DF451D"/>
    <w:rsid w:val="00DF4830"/>
    <w:rsid w:val="00DF521B"/>
    <w:rsid w:val="00DF5589"/>
    <w:rsid w:val="00DF5D4A"/>
    <w:rsid w:val="00DF5D9F"/>
    <w:rsid w:val="00DF5F32"/>
    <w:rsid w:val="00DF60C0"/>
    <w:rsid w:val="00DF639E"/>
    <w:rsid w:val="00DF6BEB"/>
    <w:rsid w:val="00DF6E46"/>
    <w:rsid w:val="00DF75EB"/>
    <w:rsid w:val="00DF77C0"/>
    <w:rsid w:val="00E00B1F"/>
    <w:rsid w:val="00E010D5"/>
    <w:rsid w:val="00E02200"/>
    <w:rsid w:val="00E02557"/>
    <w:rsid w:val="00E034F0"/>
    <w:rsid w:val="00E037D4"/>
    <w:rsid w:val="00E0394A"/>
    <w:rsid w:val="00E03AEC"/>
    <w:rsid w:val="00E04861"/>
    <w:rsid w:val="00E0487A"/>
    <w:rsid w:val="00E049D2"/>
    <w:rsid w:val="00E049F1"/>
    <w:rsid w:val="00E0528E"/>
    <w:rsid w:val="00E05711"/>
    <w:rsid w:val="00E06C3C"/>
    <w:rsid w:val="00E10070"/>
    <w:rsid w:val="00E102B1"/>
    <w:rsid w:val="00E11095"/>
    <w:rsid w:val="00E111A2"/>
    <w:rsid w:val="00E11907"/>
    <w:rsid w:val="00E11E59"/>
    <w:rsid w:val="00E124AB"/>
    <w:rsid w:val="00E12776"/>
    <w:rsid w:val="00E128DC"/>
    <w:rsid w:val="00E129B3"/>
    <w:rsid w:val="00E13A59"/>
    <w:rsid w:val="00E13BFE"/>
    <w:rsid w:val="00E13EBC"/>
    <w:rsid w:val="00E13EF3"/>
    <w:rsid w:val="00E14FC6"/>
    <w:rsid w:val="00E1507B"/>
    <w:rsid w:val="00E16149"/>
    <w:rsid w:val="00E165EE"/>
    <w:rsid w:val="00E175B2"/>
    <w:rsid w:val="00E17FFD"/>
    <w:rsid w:val="00E20177"/>
    <w:rsid w:val="00E21CE3"/>
    <w:rsid w:val="00E21FC6"/>
    <w:rsid w:val="00E22E69"/>
    <w:rsid w:val="00E231AA"/>
    <w:rsid w:val="00E23527"/>
    <w:rsid w:val="00E238B1"/>
    <w:rsid w:val="00E23AB8"/>
    <w:rsid w:val="00E23BE1"/>
    <w:rsid w:val="00E240CB"/>
    <w:rsid w:val="00E24153"/>
    <w:rsid w:val="00E24251"/>
    <w:rsid w:val="00E24AA0"/>
    <w:rsid w:val="00E24C27"/>
    <w:rsid w:val="00E25BC6"/>
    <w:rsid w:val="00E26E02"/>
    <w:rsid w:val="00E26E6E"/>
    <w:rsid w:val="00E26EF7"/>
    <w:rsid w:val="00E27212"/>
    <w:rsid w:val="00E300FF"/>
    <w:rsid w:val="00E301C9"/>
    <w:rsid w:val="00E302EE"/>
    <w:rsid w:val="00E30DF6"/>
    <w:rsid w:val="00E30ED9"/>
    <w:rsid w:val="00E31043"/>
    <w:rsid w:val="00E3113A"/>
    <w:rsid w:val="00E3127D"/>
    <w:rsid w:val="00E315BD"/>
    <w:rsid w:val="00E31B1F"/>
    <w:rsid w:val="00E31DD7"/>
    <w:rsid w:val="00E31F1C"/>
    <w:rsid w:val="00E32C26"/>
    <w:rsid w:val="00E33D51"/>
    <w:rsid w:val="00E347D3"/>
    <w:rsid w:val="00E349E3"/>
    <w:rsid w:val="00E34E68"/>
    <w:rsid w:val="00E35A4D"/>
    <w:rsid w:val="00E35C9C"/>
    <w:rsid w:val="00E3627C"/>
    <w:rsid w:val="00E3670A"/>
    <w:rsid w:val="00E36E30"/>
    <w:rsid w:val="00E36F55"/>
    <w:rsid w:val="00E37688"/>
    <w:rsid w:val="00E4106A"/>
    <w:rsid w:val="00E411FA"/>
    <w:rsid w:val="00E41711"/>
    <w:rsid w:val="00E4177F"/>
    <w:rsid w:val="00E41876"/>
    <w:rsid w:val="00E42227"/>
    <w:rsid w:val="00E426BC"/>
    <w:rsid w:val="00E43064"/>
    <w:rsid w:val="00E43247"/>
    <w:rsid w:val="00E433FE"/>
    <w:rsid w:val="00E4397E"/>
    <w:rsid w:val="00E43D34"/>
    <w:rsid w:val="00E43DB9"/>
    <w:rsid w:val="00E43F7E"/>
    <w:rsid w:val="00E44212"/>
    <w:rsid w:val="00E447D8"/>
    <w:rsid w:val="00E4497C"/>
    <w:rsid w:val="00E44D3F"/>
    <w:rsid w:val="00E45F8A"/>
    <w:rsid w:val="00E45FCD"/>
    <w:rsid w:val="00E465D2"/>
    <w:rsid w:val="00E46C15"/>
    <w:rsid w:val="00E46FB5"/>
    <w:rsid w:val="00E4708E"/>
    <w:rsid w:val="00E50232"/>
    <w:rsid w:val="00E503F3"/>
    <w:rsid w:val="00E5047F"/>
    <w:rsid w:val="00E506CA"/>
    <w:rsid w:val="00E50D8E"/>
    <w:rsid w:val="00E50F72"/>
    <w:rsid w:val="00E5185A"/>
    <w:rsid w:val="00E52AD7"/>
    <w:rsid w:val="00E52D53"/>
    <w:rsid w:val="00E5398D"/>
    <w:rsid w:val="00E5404E"/>
    <w:rsid w:val="00E5500E"/>
    <w:rsid w:val="00E552A1"/>
    <w:rsid w:val="00E5547D"/>
    <w:rsid w:val="00E55497"/>
    <w:rsid w:val="00E556AC"/>
    <w:rsid w:val="00E557AD"/>
    <w:rsid w:val="00E567ED"/>
    <w:rsid w:val="00E568D2"/>
    <w:rsid w:val="00E57937"/>
    <w:rsid w:val="00E57FFE"/>
    <w:rsid w:val="00E600C2"/>
    <w:rsid w:val="00E60390"/>
    <w:rsid w:val="00E60B4A"/>
    <w:rsid w:val="00E61CC0"/>
    <w:rsid w:val="00E61D62"/>
    <w:rsid w:val="00E61E17"/>
    <w:rsid w:val="00E620A2"/>
    <w:rsid w:val="00E6257D"/>
    <w:rsid w:val="00E625B9"/>
    <w:rsid w:val="00E629BD"/>
    <w:rsid w:val="00E62C1F"/>
    <w:rsid w:val="00E62DF9"/>
    <w:rsid w:val="00E63B77"/>
    <w:rsid w:val="00E63D00"/>
    <w:rsid w:val="00E63DA2"/>
    <w:rsid w:val="00E64424"/>
    <w:rsid w:val="00E644FE"/>
    <w:rsid w:val="00E651B6"/>
    <w:rsid w:val="00E659CE"/>
    <w:rsid w:val="00E65F25"/>
    <w:rsid w:val="00E6745F"/>
    <w:rsid w:val="00E70488"/>
    <w:rsid w:val="00E70BFC"/>
    <w:rsid w:val="00E70CD3"/>
    <w:rsid w:val="00E7120D"/>
    <w:rsid w:val="00E712F4"/>
    <w:rsid w:val="00E720E6"/>
    <w:rsid w:val="00E72312"/>
    <w:rsid w:val="00E7311C"/>
    <w:rsid w:val="00E73A1F"/>
    <w:rsid w:val="00E73A93"/>
    <w:rsid w:val="00E73F5E"/>
    <w:rsid w:val="00E74944"/>
    <w:rsid w:val="00E74CAF"/>
    <w:rsid w:val="00E74E3E"/>
    <w:rsid w:val="00E75150"/>
    <w:rsid w:val="00E75324"/>
    <w:rsid w:val="00E7541C"/>
    <w:rsid w:val="00E75B3F"/>
    <w:rsid w:val="00E76633"/>
    <w:rsid w:val="00E76B0D"/>
    <w:rsid w:val="00E77475"/>
    <w:rsid w:val="00E7797C"/>
    <w:rsid w:val="00E77FF9"/>
    <w:rsid w:val="00E8028F"/>
    <w:rsid w:val="00E80441"/>
    <w:rsid w:val="00E80689"/>
    <w:rsid w:val="00E80A3F"/>
    <w:rsid w:val="00E80A73"/>
    <w:rsid w:val="00E80C23"/>
    <w:rsid w:val="00E81201"/>
    <w:rsid w:val="00E827AF"/>
    <w:rsid w:val="00E82FF9"/>
    <w:rsid w:val="00E835D5"/>
    <w:rsid w:val="00E8419C"/>
    <w:rsid w:val="00E84AD5"/>
    <w:rsid w:val="00E8598F"/>
    <w:rsid w:val="00E85CFD"/>
    <w:rsid w:val="00E86084"/>
    <w:rsid w:val="00E86244"/>
    <w:rsid w:val="00E86D6C"/>
    <w:rsid w:val="00E871F9"/>
    <w:rsid w:val="00E8746E"/>
    <w:rsid w:val="00E87A0E"/>
    <w:rsid w:val="00E90747"/>
    <w:rsid w:val="00E9091D"/>
    <w:rsid w:val="00E9108A"/>
    <w:rsid w:val="00E91385"/>
    <w:rsid w:val="00E91A0B"/>
    <w:rsid w:val="00E91E1A"/>
    <w:rsid w:val="00E9226A"/>
    <w:rsid w:val="00E92635"/>
    <w:rsid w:val="00E92812"/>
    <w:rsid w:val="00E93A2E"/>
    <w:rsid w:val="00E93AB5"/>
    <w:rsid w:val="00E93B3B"/>
    <w:rsid w:val="00E940E5"/>
    <w:rsid w:val="00E9445E"/>
    <w:rsid w:val="00E94603"/>
    <w:rsid w:val="00E94620"/>
    <w:rsid w:val="00E946BE"/>
    <w:rsid w:val="00E94D7D"/>
    <w:rsid w:val="00E953BC"/>
    <w:rsid w:val="00E955A7"/>
    <w:rsid w:val="00E9583B"/>
    <w:rsid w:val="00E95B7F"/>
    <w:rsid w:val="00E95BE5"/>
    <w:rsid w:val="00E95E3F"/>
    <w:rsid w:val="00E9663C"/>
    <w:rsid w:val="00E96754"/>
    <w:rsid w:val="00E96DB4"/>
    <w:rsid w:val="00E97574"/>
    <w:rsid w:val="00E9760C"/>
    <w:rsid w:val="00E97CBC"/>
    <w:rsid w:val="00EA02DF"/>
    <w:rsid w:val="00EA0EE8"/>
    <w:rsid w:val="00EA1153"/>
    <w:rsid w:val="00EA1B45"/>
    <w:rsid w:val="00EA1D77"/>
    <w:rsid w:val="00EA3190"/>
    <w:rsid w:val="00EA3839"/>
    <w:rsid w:val="00EA3ACA"/>
    <w:rsid w:val="00EA3D7E"/>
    <w:rsid w:val="00EA4714"/>
    <w:rsid w:val="00EA4AE3"/>
    <w:rsid w:val="00EA509B"/>
    <w:rsid w:val="00EA55F4"/>
    <w:rsid w:val="00EA5F5F"/>
    <w:rsid w:val="00EA61EC"/>
    <w:rsid w:val="00EA6550"/>
    <w:rsid w:val="00EA6A2E"/>
    <w:rsid w:val="00EA6D53"/>
    <w:rsid w:val="00EA6D60"/>
    <w:rsid w:val="00EA70AD"/>
    <w:rsid w:val="00EA7179"/>
    <w:rsid w:val="00EA7259"/>
    <w:rsid w:val="00EA7350"/>
    <w:rsid w:val="00EA7DC4"/>
    <w:rsid w:val="00EB005A"/>
    <w:rsid w:val="00EB014A"/>
    <w:rsid w:val="00EB03F8"/>
    <w:rsid w:val="00EB0579"/>
    <w:rsid w:val="00EB0667"/>
    <w:rsid w:val="00EB095E"/>
    <w:rsid w:val="00EB16BB"/>
    <w:rsid w:val="00EB1906"/>
    <w:rsid w:val="00EB1960"/>
    <w:rsid w:val="00EB19B1"/>
    <w:rsid w:val="00EB1DCB"/>
    <w:rsid w:val="00EB2196"/>
    <w:rsid w:val="00EB242A"/>
    <w:rsid w:val="00EB2442"/>
    <w:rsid w:val="00EB25A3"/>
    <w:rsid w:val="00EB2A36"/>
    <w:rsid w:val="00EB2A82"/>
    <w:rsid w:val="00EB2B1F"/>
    <w:rsid w:val="00EB2D3B"/>
    <w:rsid w:val="00EB3D51"/>
    <w:rsid w:val="00EB4544"/>
    <w:rsid w:val="00EB4FAE"/>
    <w:rsid w:val="00EB50F4"/>
    <w:rsid w:val="00EB53DE"/>
    <w:rsid w:val="00EB5884"/>
    <w:rsid w:val="00EB58DD"/>
    <w:rsid w:val="00EB5AFF"/>
    <w:rsid w:val="00EB5BCE"/>
    <w:rsid w:val="00EB6E2B"/>
    <w:rsid w:val="00EB715F"/>
    <w:rsid w:val="00EC0031"/>
    <w:rsid w:val="00EC03C5"/>
    <w:rsid w:val="00EC07EC"/>
    <w:rsid w:val="00EC0CE1"/>
    <w:rsid w:val="00EC111E"/>
    <w:rsid w:val="00EC1A24"/>
    <w:rsid w:val="00EC205D"/>
    <w:rsid w:val="00EC216F"/>
    <w:rsid w:val="00EC350C"/>
    <w:rsid w:val="00EC383F"/>
    <w:rsid w:val="00EC3BA3"/>
    <w:rsid w:val="00EC44FA"/>
    <w:rsid w:val="00EC4C8D"/>
    <w:rsid w:val="00EC5125"/>
    <w:rsid w:val="00EC52B1"/>
    <w:rsid w:val="00EC54FA"/>
    <w:rsid w:val="00EC6457"/>
    <w:rsid w:val="00EC75D9"/>
    <w:rsid w:val="00EC788A"/>
    <w:rsid w:val="00EC79D4"/>
    <w:rsid w:val="00EC7A0D"/>
    <w:rsid w:val="00EC7F5E"/>
    <w:rsid w:val="00ED117E"/>
    <w:rsid w:val="00ED1483"/>
    <w:rsid w:val="00ED15B4"/>
    <w:rsid w:val="00ED1C54"/>
    <w:rsid w:val="00ED1C8C"/>
    <w:rsid w:val="00ED1CD1"/>
    <w:rsid w:val="00ED1E40"/>
    <w:rsid w:val="00ED22BA"/>
    <w:rsid w:val="00ED267E"/>
    <w:rsid w:val="00ED2A48"/>
    <w:rsid w:val="00ED2DA4"/>
    <w:rsid w:val="00ED2FC1"/>
    <w:rsid w:val="00ED3CB9"/>
    <w:rsid w:val="00ED3FB4"/>
    <w:rsid w:val="00ED43B3"/>
    <w:rsid w:val="00ED4428"/>
    <w:rsid w:val="00ED5D21"/>
    <w:rsid w:val="00ED6077"/>
    <w:rsid w:val="00ED6266"/>
    <w:rsid w:val="00ED6A51"/>
    <w:rsid w:val="00ED71D3"/>
    <w:rsid w:val="00ED79A3"/>
    <w:rsid w:val="00ED7BB9"/>
    <w:rsid w:val="00ED7FA3"/>
    <w:rsid w:val="00EE0013"/>
    <w:rsid w:val="00EE0456"/>
    <w:rsid w:val="00EE0E64"/>
    <w:rsid w:val="00EE11F0"/>
    <w:rsid w:val="00EE144B"/>
    <w:rsid w:val="00EE17CB"/>
    <w:rsid w:val="00EE197D"/>
    <w:rsid w:val="00EE2669"/>
    <w:rsid w:val="00EE2DE1"/>
    <w:rsid w:val="00EE3016"/>
    <w:rsid w:val="00EE3119"/>
    <w:rsid w:val="00EE3CF0"/>
    <w:rsid w:val="00EE484E"/>
    <w:rsid w:val="00EE48BA"/>
    <w:rsid w:val="00EE4AEB"/>
    <w:rsid w:val="00EE4B85"/>
    <w:rsid w:val="00EE4E35"/>
    <w:rsid w:val="00EE5334"/>
    <w:rsid w:val="00EE548D"/>
    <w:rsid w:val="00EE5914"/>
    <w:rsid w:val="00EE592B"/>
    <w:rsid w:val="00EE5B5E"/>
    <w:rsid w:val="00EE6CE8"/>
    <w:rsid w:val="00EE6F07"/>
    <w:rsid w:val="00EE79B8"/>
    <w:rsid w:val="00EF011F"/>
    <w:rsid w:val="00EF0C0E"/>
    <w:rsid w:val="00EF1511"/>
    <w:rsid w:val="00EF1855"/>
    <w:rsid w:val="00EF1DD6"/>
    <w:rsid w:val="00EF3133"/>
    <w:rsid w:val="00EF3604"/>
    <w:rsid w:val="00EF379C"/>
    <w:rsid w:val="00EF3993"/>
    <w:rsid w:val="00EF4467"/>
    <w:rsid w:val="00EF446F"/>
    <w:rsid w:val="00EF5920"/>
    <w:rsid w:val="00EF5E3C"/>
    <w:rsid w:val="00EF60B6"/>
    <w:rsid w:val="00EF6441"/>
    <w:rsid w:val="00EF6604"/>
    <w:rsid w:val="00EF6C3E"/>
    <w:rsid w:val="00EF701E"/>
    <w:rsid w:val="00EF71AD"/>
    <w:rsid w:val="00EF75E6"/>
    <w:rsid w:val="00EF764F"/>
    <w:rsid w:val="00EF7EB3"/>
    <w:rsid w:val="00F00AF4"/>
    <w:rsid w:val="00F00D0B"/>
    <w:rsid w:val="00F0252D"/>
    <w:rsid w:val="00F03437"/>
    <w:rsid w:val="00F0358B"/>
    <w:rsid w:val="00F0388E"/>
    <w:rsid w:val="00F03C93"/>
    <w:rsid w:val="00F04199"/>
    <w:rsid w:val="00F04604"/>
    <w:rsid w:val="00F04631"/>
    <w:rsid w:val="00F04AE5"/>
    <w:rsid w:val="00F04B54"/>
    <w:rsid w:val="00F04ECE"/>
    <w:rsid w:val="00F0621B"/>
    <w:rsid w:val="00F06C07"/>
    <w:rsid w:val="00F07009"/>
    <w:rsid w:val="00F075DC"/>
    <w:rsid w:val="00F075EE"/>
    <w:rsid w:val="00F078F0"/>
    <w:rsid w:val="00F105FF"/>
    <w:rsid w:val="00F1072E"/>
    <w:rsid w:val="00F10983"/>
    <w:rsid w:val="00F10D8C"/>
    <w:rsid w:val="00F119C6"/>
    <w:rsid w:val="00F11BA4"/>
    <w:rsid w:val="00F129E6"/>
    <w:rsid w:val="00F1359C"/>
    <w:rsid w:val="00F135A5"/>
    <w:rsid w:val="00F13C90"/>
    <w:rsid w:val="00F13E72"/>
    <w:rsid w:val="00F14241"/>
    <w:rsid w:val="00F143CD"/>
    <w:rsid w:val="00F1452F"/>
    <w:rsid w:val="00F145F2"/>
    <w:rsid w:val="00F1562A"/>
    <w:rsid w:val="00F15C08"/>
    <w:rsid w:val="00F15CD4"/>
    <w:rsid w:val="00F15E69"/>
    <w:rsid w:val="00F16550"/>
    <w:rsid w:val="00F170FD"/>
    <w:rsid w:val="00F20A45"/>
    <w:rsid w:val="00F20AC8"/>
    <w:rsid w:val="00F20FF2"/>
    <w:rsid w:val="00F21E04"/>
    <w:rsid w:val="00F22147"/>
    <w:rsid w:val="00F22A0D"/>
    <w:rsid w:val="00F2335D"/>
    <w:rsid w:val="00F23BFC"/>
    <w:rsid w:val="00F23EFA"/>
    <w:rsid w:val="00F24257"/>
    <w:rsid w:val="00F247B3"/>
    <w:rsid w:val="00F24A34"/>
    <w:rsid w:val="00F25A39"/>
    <w:rsid w:val="00F25F33"/>
    <w:rsid w:val="00F263B7"/>
    <w:rsid w:val="00F26780"/>
    <w:rsid w:val="00F26A36"/>
    <w:rsid w:val="00F26C24"/>
    <w:rsid w:val="00F27518"/>
    <w:rsid w:val="00F276D2"/>
    <w:rsid w:val="00F27A3B"/>
    <w:rsid w:val="00F27A3F"/>
    <w:rsid w:val="00F3012C"/>
    <w:rsid w:val="00F3020F"/>
    <w:rsid w:val="00F307AC"/>
    <w:rsid w:val="00F30B99"/>
    <w:rsid w:val="00F30BCC"/>
    <w:rsid w:val="00F30CAE"/>
    <w:rsid w:val="00F31151"/>
    <w:rsid w:val="00F313C1"/>
    <w:rsid w:val="00F313E4"/>
    <w:rsid w:val="00F31808"/>
    <w:rsid w:val="00F3187C"/>
    <w:rsid w:val="00F31EA0"/>
    <w:rsid w:val="00F322D6"/>
    <w:rsid w:val="00F329D3"/>
    <w:rsid w:val="00F33309"/>
    <w:rsid w:val="00F33622"/>
    <w:rsid w:val="00F33CB0"/>
    <w:rsid w:val="00F33E6B"/>
    <w:rsid w:val="00F34181"/>
    <w:rsid w:val="00F352F9"/>
    <w:rsid w:val="00F35664"/>
    <w:rsid w:val="00F3609F"/>
    <w:rsid w:val="00F365FF"/>
    <w:rsid w:val="00F36A78"/>
    <w:rsid w:val="00F37423"/>
    <w:rsid w:val="00F37F34"/>
    <w:rsid w:val="00F4016A"/>
    <w:rsid w:val="00F40288"/>
    <w:rsid w:val="00F4064B"/>
    <w:rsid w:val="00F41544"/>
    <w:rsid w:val="00F41656"/>
    <w:rsid w:val="00F42121"/>
    <w:rsid w:val="00F42D48"/>
    <w:rsid w:val="00F432B8"/>
    <w:rsid w:val="00F434D8"/>
    <w:rsid w:val="00F434FD"/>
    <w:rsid w:val="00F43FBF"/>
    <w:rsid w:val="00F44E7A"/>
    <w:rsid w:val="00F46405"/>
    <w:rsid w:val="00F47395"/>
    <w:rsid w:val="00F476F8"/>
    <w:rsid w:val="00F47A4B"/>
    <w:rsid w:val="00F50049"/>
    <w:rsid w:val="00F504E6"/>
    <w:rsid w:val="00F5094A"/>
    <w:rsid w:val="00F50A04"/>
    <w:rsid w:val="00F51181"/>
    <w:rsid w:val="00F51362"/>
    <w:rsid w:val="00F51592"/>
    <w:rsid w:val="00F5187D"/>
    <w:rsid w:val="00F524E3"/>
    <w:rsid w:val="00F52807"/>
    <w:rsid w:val="00F5298C"/>
    <w:rsid w:val="00F53509"/>
    <w:rsid w:val="00F536C6"/>
    <w:rsid w:val="00F545AF"/>
    <w:rsid w:val="00F54AC0"/>
    <w:rsid w:val="00F54F31"/>
    <w:rsid w:val="00F557EE"/>
    <w:rsid w:val="00F55FC4"/>
    <w:rsid w:val="00F560CF"/>
    <w:rsid w:val="00F5634F"/>
    <w:rsid w:val="00F563B1"/>
    <w:rsid w:val="00F56BAE"/>
    <w:rsid w:val="00F56C24"/>
    <w:rsid w:val="00F56EC7"/>
    <w:rsid w:val="00F5764A"/>
    <w:rsid w:val="00F57A0D"/>
    <w:rsid w:val="00F600F0"/>
    <w:rsid w:val="00F60488"/>
    <w:rsid w:val="00F60655"/>
    <w:rsid w:val="00F614EC"/>
    <w:rsid w:val="00F61981"/>
    <w:rsid w:val="00F61A31"/>
    <w:rsid w:val="00F61CC9"/>
    <w:rsid w:val="00F61CF6"/>
    <w:rsid w:val="00F625BC"/>
    <w:rsid w:val="00F62A64"/>
    <w:rsid w:val="00F62F24"/>
    <w:rsid w:val="00F630B9"/>
    <w:rsid w:val="00F63251"/>
    <w:rsid w:val="00F634E1"/>
    <w:rsid w:val="00F637A9"/>
    <w:rsid w:val="00F63B17"/>
    <w:rsid w:val="00F63BF4"/>
    <w:rsid w:val="00F63DB1"/>
    <w:rsid w:val="00F640B0"/>
    <w:rsid w:val="00F649AF"/>
    <w:rsid w:val="00F64FAD"/>
    <w:rsid w:val="00F6548E"/>
    <w:rsid w:val="00F65937"/>
    <w:rsid w:val="00F65A52"/>
    <w:rsid w:val="00F675C1"/>
    <w:rsid w:val="00F67614"/>
    <w:rsid w:val="00F70269"/>
    <w:rsid w:val="00F7073F"/>
    <w:rsid w:val="00F70851"/>
    <w:rsid w:val="00F70EFA"/>
    <w:rsid w:val="00F717E2"/>
    <w:rsid w:val="00F718C0"/>
    <w:rsid w:val="00F71A6C"/>
    <w:rsid w:val="00F721A4"/>
    <w:rsid w:val="00F721DF"/>
    <w:rsid w:val="00F73411"/>
    <w:rsid w:val="00F73D68"/>
    <w:rsid w:val="00F73E8C"/>
    <w:rsid w:val="00F73FD1"/>
    <w:rsid w:val="00F75B65"/>
    <w:rsid w:val="00F75C64"/>
    <w:rsid w:val="00F75C99"/>
    <w:rsid w:val="00F766FD"/>
    <w:rsid w:val="00F7678A"/>
    <w:rsid w:val="00F76DAC"/>
    <w:rsid w:val="00F779A0"/>
    <w:rsid w:val="00F807EB"/>
    <w:rsid w:val="00F8120B"/>
    <w:rsid w:val="00F818B5"/>
    <w:rsid w:val="00F818BC"/>
    <w:rsid w:val="00F82197"/>
    <w:rsid w:val="00F828AE"/>
    <w:rsid w:val="00F82B4C"/>
    <w:rsid w:val="00F82BA1"/>
    <w:rsid w:val="00F82E58"/>
    <w:rsid w:val="00F82FB5"/>
    <w:rsid w:val="00F835F6"/>
    <w:rsid w:val="00F83866"/>
    <w:rsid w:val="00F83AD0"/>
    <w:rsid w:val="00F83E4A"/>
    <w:rsid w:val="00F83F3E"/>
    <w:rsid w:val="00F84BAD"/>
    <w:rsid w:val="00F84D65"/>
    <w:rsid w:val="00F851F4"/>
    <w:rsid w:val="00F85CF1"/>
    <w:rsid w:val="00F86445"/>
    <w:rsid w:val="00F86DB0"/>
    <w:rsid w:val="00F87596"/>
    <w:rsid w:val="00F87894"/>
    <w:rsid w:val="00F87E72"/>
    <w:rsid w:val="00F87F95"/>
    <w:rsid w:val="00F900CA"/>
    <w:rsid w:val="00F9086B"/>
    <w:rsid w:val="00F91810"/>
    <w:rsid w:val="00F92194"/>
    <w:rsid w:val="00F926A0"/>
    <w:rsid w:val="00F92C69"/>
    <w:rsid w:val="00F92D09"/>
    <w:rsid w:val="00F936F0"/>
    <w:rsid w:val="00F93824"/>
    <w:rsid w:val="00F9419A"/>
    <w:rsid w:val="00F946D8"/>
    <w:rsid w:val="00F94BAF"/>
    <w:rsid w:val="00F95855"/>
    <w:rsid w:val="00F95C12"/>
    <w:rsid w:val="00F95DE5"/>
    <w:rsid w:val="00F968EB"/>
    <w:rsid w:val="00F96B90"/>
    <w:rsid w:val="00F971A1"/>
    <w:rsid w:val="00F976D1"/>
    <w:rsid w:val="00F97828"/>
    <w:rsid w:val="00F97EE2"/>
    <w:rsid w:val="00FA01E3"/>
    <w:rsid w:val="00FA01E7"/>
    <w:rsid w:val="00FA0868"/>
    <w:rsid w:val="00FA0E4D"/>
    <w:rsid w:val="00FA0EEA"/>
    <w:rsid w:val="00FA12B7"/>
    <w:rsid w:val="00FA1352"/>
    <w:rsid w:val="00FA143A"/>
    <w:rsid w:val="00FA2A7C"/>
    <w:rsid w:val="00FA2C1B"/>
    <w:rsid w:val="00FA2D94"/>
    <w:rsid w:val="00FA2EA7"/>
    <w:rsid w:val="00FA3B27"/>
    <w:rsid w:val="00FA41D8"/>
    <w:rsid w:val="00FA515D"/>
    <w:rsid w:val="00FA5505"/>
    <w:rsid w:val="00FA5A83"/>
    <w:rsid w:val="00FA6D7F"/>
    <w:rsid w:val="00FA7A8C"/>
    <w:rsid w:val="00FA7D90"/>
    <w:rsid w:val="00FB0333"/>
    <w:rsid w:val="00FB084D"/>
    <w:rsid w:val="00FB08CF"/>
    <w:rsid w:val="00FB0ABB"/>
    <w:rsid w:val="00FB0DDE"/>
    <w:rsid w:val="00FB0E03"/>
    <w:rsid w:val="00FB0EA9"/>
    <w:rsid w:val="00FB12F5"/>
    <w:rsid w:val="00FB19F7"/>
    <w:rsid w:val="00FB1E15"/>
    <w:rsid w:val="00FB2976"/>
    <w:rsid w:val="00FB2AA7"/>
    <w:rsid w:val="00FB389B"/>
    <w:rsid w:val="00FB39F9"/>
    <w:rsid w:val="00FB454C"/>
    <w:rsid w:val="00FB4C47"/>
    <w:rsid w:val="00FB4E21"/>
    <w:rsid w:val="00FB541D"/>
    <w:rsid w:val="00FB5900"/>
    <w:rsid w:val="00FB64A6"/>
    <w:rsid w:val="00FB7029"/>
    <w:rsid w:val="00FB7657"/>
    <w:rsid w:val="00FB7B14"/>
    <w:rsid w:val="00FC037D"/>
    <w:rsid w:val="00FC04C0"/>
    <w:rsid w:val="00FC1044"/>
    <w:rsid w:val="00FC11FE"/>
    <w:rsid w:val="00FC1C46"/>
    <w:rsid w:val="00FC1ED0"/>
    <w:rsid w:val="00FC22C2"/>
    <w:rsid w:val="00FC2B03"/>
    <w:rsid w:val="00FC363B"/>
    <w:rsid w:val="00FC3A29"/>
    <w:rsid w:val="00FC3E8B"/>
    <w:rsid w:val="00FC4BEA"/>
    <w:rsid w:val="00FC4D7D"/>
    <w:rsid w:val="00FC5154"/>
    <w:rsid w:val="00FC5BA0"/>
    <w:rsid w:val="00FC6302"/>
    <w:rsid w:val="00FC6634"/>
    <w:rsid w:val="00FC6C32"/>
    <w:rsid w:val="00FC6FE3"/>
    <w:rsid w:val="00FC7273"/>
    <w:rsid w:val="00FC7982"/>
    <w:rsid w:val="00FD072B"/>
    <w:rsid w:val="00FD09EC"/>
    <w:rsid w:val="00FD0B01"/>
    <w:rsid w:val="00FD2811"/>
    <w:rsid w:val="00FD2950"/>
    <w:rsid w:val="00FD2AC5"/>
    <w:rsid w:val="00FD3111"/>
    <w:rsid w:val="00FD363C"/>
    <w:rsid w:val="00FD3BB8"/>
    <w:rsid w:val="00FD3BE9"/>
    <w:rsid w:val="00FD4921"/>
    <w:rsid w:val="00FD4A4A"/>
    <w:rsid w:val="00FD4E53"/>
    <w:rsid w:val="00FD531D"/>
    <w:rsid w:val="00FD5503"/>
    <w:rsid w:val="00FD5550"/>
    <w:rsid w:val="00FD5F64"/>
    <w:rsid w:val="00FD6240"/>
    <w:rsid w:val="00FD6393"/>
    <w:rsid w:val="00FD6BA1"/>
    <w:rsid w:val="00FD6F5A"/>
    <w:rsid w:val="00FD74C3"/>
    <w:rsid w:val="00FD7C52"/>
    <w:rsid w:val="00FD7F3A"/>
    <w:rsid w:val="00FE0030"/>
    <w:rsid w:val="00FE01B9"/>
    <w:rsid w:val="00FE0283"/>
    <w:rsid w:val="00FE04AA"/>
    <w:rsid w:val="00FE07D1"/>
    <w:rsid w:val="00FE28CA"/>
    <w:rsid w:val="00FE2C7B"/>
    <w:rsid w:val="00FE3F61"/>
    <w:rsid w:val="00FE4549"/>
    <w:rsid w:val="00FE4E47"/>
    <w:rsid w:val="00FE55DE"/>
    <w:rsid w:val="00FE580C"/>
    <w:rsid w:val="00FE5C9D"/>
    <w:rsid w:val="00FE6017"/>
    <w:rsid w:val="00FE71A6"/>
    <w:rsid w:val="00FE7D97"/>
    <w:rsid w:val="00FE7E65"/>
    <w:rsid w:val="00FF015A"/>
    <w:rsid w:val="00FF0C6E"/>
    <w:rsid w:val="00FF0C85"/>
    <w:rsid w:val="00FF1893"/>
    <w:rsid w:val="00FF1FDE"/>
    <w:rsid w:val="00FF2251"/>
    <w:rsid w:val="00FF2601"/>
    <w:rsid w:val="00FF261F"/>
    <w:rsid w:val="00FF2B5A"/>
    <w:rsid w:val="00FF3405"/>
    <w:rsid w:val="00FF514D"/>
    <w:rsid w:val="00FF5468"/>
    <w:rsid w:val="00FF57F4"/>
    <w:rsid w:val="00FF5EC8"/>
    <w:rsid w:val="00FF618B"/>
    <w:rsid w:val="00FF635D"/>
    <w:rsid w:val="00FF6866"/>
    <w:rsid w:val="00FF6965"/>
    <w:rsid w:val="00FF6A0F"/>
    <w:rsid w:val="00FF7837"/>
    <w:rsid w:val="00FF7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3F38C"/>
  <w15:chartTrackingRefBased/>
  <w15:docId w15:val="{9315A7E7-81E8-4A2F-8571-DE12E4293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8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416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1656"/>
    <w:rPr>
      <w:sz w:val="20"/>
      <w:szCs w:val="20"/>
    </w:rPr>
  </w:style>
  <w:style w:type="character" w:styleId="FootnoteReference">
    <w:name w:val="footnote reference"/>
    <w:basedOn w:val="DefaultParagraphFont"/>
    <w:uiPriority w:val="99"/>
    <w:semiHidden/>
    <w:unhideWhenUsed/>
    <w:rsid w:val="00F41656"/>
    <w:rPr>
      <w:vertAlign w:val="superscript"/>
    </w:rPr>
  </w:style>
  <w:style w:type="character" w:styleId="Hyperlink">
    <w:name w:val="Hyperlink"/>
    <w:basedOn w:val="DefaultParagraphFont"/>
    <w:uiPriority w:val="99"/>
    <w:unhideWhenUsed/>
    <w:rsid w:val="0074465A"/>
    <w:rPr>
      <w:color w:val="0563C1" w:themeColor="hyperlink"/>
      <w:u w:val="single"/>
    </w:rPr>
  </w:style>
  <w:style w:type="paragraph" w:styleId="Revision">
    <w:name w:val="Revision"/>
    <w:hidden/>
    <w:uiPriority w:val="99"/>
    <w:semiHidden/>
    <w:rsid w:val="003F766B"/>
    <w:pPr>
      <w:spacing w:after="0" w:line="240" w:lineRule="auto"/>
    </w:pPr>
  </w:style>
  <w:style w:type="character" w:styleId="CommentReference">
    <w:name w:val="annotation reference"/>
    <w:basedOn w:val="DefaultParagraphFont"/>
    <w:uiPriority w:val="99"/>
    <w:semiHidden/>
    <w:unhideWhenUsed/>
    <w:rsid w:val="003F766B"/>
    <w:rPr>
      <w:sz w:val="16"/>
      <w:szCs w:val="16"/>
    </w:rPr>
  </w:style>
  <w:style w:type="paragraph" w:styleId="CommentText">
    <w:name w:val="annotation text"/>
    <w:basedOn w:val="Normal"/>
    <w:link w:val="CommentTextChar"/>
    <w:uiPriority w:val="99"/>
    <w:unhideWhenUsed/>
    <w:rsid w:val="003F766B"/>
    <w:pPr>
      <w:spacing w:line="240" w:lineRule="auto"/>
    </w:pPr>
    <w:rPr>
      <w:sz w:val="20"/>
      <w:szCs w:val="20"/>
    </w:rPr>
  </w:style>
  <w:style w:type="character" w:customStyle="1" w:styleId="CommentTextChar">
    <w:name w:val="Comment Text Char"/>
    <w:basedOn w:val="DefaultParagraphFont"/>
    <w:link w:val="CommentText"/>
    <w:uiPriority w:val="99"/>
    <w:rsid w:val="003F766B"/>
    <w:rPr>
      <w:sz w:val="20"/>
      <w:szCs w:val="20"/>
    </w:rPr>
  </w:style>
  <w:style w:type="paragraph" w:styleId="CommentSubject">
    <w:name w:val="annotation subject"/>
    <w:basedOn w:val="CommentText"/>
    <w:next w:val="CommentText"/>
    <w:link w:val="CommentSubjectChar"/>
    <w:uiPriority w:val="99"/>
    <w:semiHidden/>
    <w:unhideWhenUsed/>
    <w:rsid w:val="003F766B"/>
    <w:rPr>
      <w:b/>
      <w:bCs/>
    </w:rPr>
  </w:style>
  <w:style w:type="character" w:customStyle="1" w:styleId="CommentSubjectChar">
    <w:name w:val="Comment Subject Char"/>
    <w:basedOn w:val="CommentTextChar"/>
    <w:link w:val="CommentSubject"/>
    <w:uiPriority w:val="99"/>
    <w:semiHidden/>
    <w:rsid w:val="003F766B"/>
    <w:rPr>
      <w:b/>
      <w:bCs/>
      <w:sz w:val="20"/>
      <w:szCs w:val="20"/>
    </w:rPr>
  </w:style>
  <w:style w:type="paragraph" w:styleId="ListParagraph">
    <w:name w:val="List Paragraph"/>
    <w:basedOn w:val="Normal"/>
    <w:uiPriority w:val="34"/>
    <w:qFormat/>
    <w:rsid w:val="00C07290"/>
    <w:pPr>
      <w:ind w:left="720"/>
      <w:contextualSpacing/>
    </w:pPr>
  </w:style>
  <w:style w:type="paragraph" w:styleId="Header">
    <w:name w:val="header"/>
    <w:basedOn w:val="Normal"/>
    <w:link w:val="HeaderChar"/>
    <w:uiPriority w:val="99"/>
    <w:unhideWhenUsed/>
    <w:rsid w:val="00DF60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60C0"/>
  </w:style>
  <w:style w:type="paragraph" w:styleId="Footer">
    <w:name w:val="footer"/>
    <w:basedOn w:val="Normal"/>
    <w:link w:val="FooterChar"/>
    <w:uiPriority w:val="99"/>
    <w:unhideWhenUsed/>
    <w:rsid w:val="00BC42A0"/>
    <w:pPr>
      <w:tabs>
        <w:tab w:val="center" w:pos="4680"/>
        <w:tab w:val="right" w:pos="9360"/>
      </w:tabs>
      <w:spacing w:after="0" w:line="240" w:lineRule="auto"/>
    </w:pPr>
    <w:rPr>
      <w:rFonts w:ascii="Times New Roman" w:hAnsi="Times New Roman"/>
      <w:sz w:val="20"/>
    </w:rPr>
  </w:style>
  <w:style w:type="character" w:customStyle="1" w:styleId="FooterChar">
    <w:name w:val="Footer Char"/>
    <w:basedOn w:val="DefaultParagraphFont"/>
    <w:link w:val="Footer"/>
    <w:uiPriority w:val="99"/>
    <w:rsid w:val="00BC42A0"/>
    <w:rPr>
      <w:rFonts w:ascii="Times New Roman" w:hAnsi="Times New Roman"/>
      <w:sz w:val="20"/>
    </w:rPr>
  </w:style>
  <w:style w:type="character" w:styleId="PlaceholderText">
    <w:name w:val="Placeholder Text"/>
    <w:basedOn w:val="DefaultParagraphFont"/>
    <w:uiPriority w:val="99"/>
    <w:semiHidden/>
    <w:rsid w:val="00DF60C0"/>
    <w:rPr>
      <w:color w:val="808080"/>
    </w:rPr>
  </w:style>
  <w:style w:type="paragraph" w:styleId="BalloonText">
    <w:name w:val="Balloon Text"/>
    <w:basedOn w:val="Normal"/>
    <w:link w:val="BalloonTextChar"/>
    <w:uiPriority w:val="99"/>
    <w:semiHidden/>
    <w:unhideWhenUsed/>
    <w:rsid w:val="00DF60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0C0"/>
    <w:rPr>
      <w:rFonts w:ascii="Segoe UI" w:hAnsi="Segoe UI" w:cs="Segoe UI"/>
      <w:sz w:val="18"/>
      <w:szCs w:val="18"/>
    </w:rPr>
  </w:style>
  <w:style w:type="character" w:styleId="EndnoteReference">
    <w:name w:val="endnote reference"/>
    <w:basedOn w:val="DefaultParagraphFont"/>
    <w:uiPriority w:val="99"/>
    <w:semiHidden/>
    <w:unhideWhenUsed/>
    <w:rsid w:val="0032512C"/>
    <w:rPr>
      <w:vertAlign w:val="superscript"/>
    </w:rPr>
  </w:style>
  <w:style w:type="character" w:styleId="UnresolvedMention">
    <w:name w:val="Unresolved Mention"/>
    <w:basedOn w:val="DefaultParagraphFont"/>
    <w:uiPriority w:val="99"/>
    <w:semiHidden/>
    <w:unhideWhenUsed/>
    <w:rsid w:val="00EB6E2B"/>
    <w:rPr>
      <w:color w:val="605E5C"/>
      <w:shd w:val="clear" w:color="auto" w:fill="E1DFDD"/>
    </w:rPr>
  </w:style>
  <w:style w:type="table" w:styleId="TableGrid">
    <w:name w:val="Table Grid"/>
    <w:basedOn w:val="TableNormal"/>
    <w:uiPriority w:val="39"/>
    <w:rsid w:val="00F31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2C2E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C2E6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830977">
      <w:bodyDiv w:val="1"/>
      <w:marLeft w:val="0"/>
      <w:marRight w:val="0"/>
      <w:marTop w:val="0"/>
      <w:marBottom w:val="0"/>
      <w:divBdr>
        <w:top w:val="none" w:sz="0" w:space="0" w:color="auto"/>
        <w:left w:val="none" w:sz="0" w:space="0" w:color="auto"/>
        <w:bottom w:val="none" w:sz="0" w:space="0" w:color="auto"/>
        <w:right w:val="none" w:sz="0" w:space="0" w:color="auto"/>
      </w:divBdr>
    </w:div>
    <w:div w:id="619341780">
      <w:bodyDiv w:val="1"/>
      <w:marLeft w:val="0"/>
      <w:marRight w:val="0"/>
      <w:marTop w:val="0"/>
      <w:marBottom w:val="0"/>
      <w:divBdr>
        <w:top w:val="none" w:sz="0" w:space="0" w:color="auto"/>
        <w:left w:val="none" w:sz="0" w:space="0" w:color="auto"/>
        <w:bottom w:val="none" w:sz="0" w:space="0" w:color="auto"/>
        <w:right w:val="none" w:sz="0" w:space="0" w:color="auto"/>
      </w:divBdr>
    </w:div>
    <w:div w:id="653024642">
      <w:bodyDiv w:val="1"/>
      <w:marLeft w:val="0"/>
      <w:marRight w:val="0"/>
      <w:marTop w:val="0"/>
      <w:marBottom w:val="0"/>
      <w:divBdr>
        <w:top w:val="none" w:sz="0" w:space="0" w:color="auto"/>
        <w:left w:val="none" w:sz="0" w:space="0" w:color="auto"/>
        <w:bottom w:val="none" w:sz="0" w:space="0" w:color="auto"/>
        <w:right w:val="none" w:sz="0" w:space="0" w:color="auto"/>
      </w:divBdr>
    </w:div>
    <w:div w:id="688217696">
      <w:bodyDiv w:val="1"/>
      <w:marLeft w:val="0"/>
      <w:marRight w:val="0"/>
      <w:marTop w:val="0"/>
      <w:marBottom w:val="0"/>
      <w:divBdr>
        <w:top w:val="none" w:sz="0" w:space="0" w:color="auto"/>
        <w:left w:val="none" w:sz="0" w:space="0" w:color="auto"/>
        <w:bottom w:val="none" w:sz="0" w:space="0" w:color="auto"/>
        <w:right w:val="none" w:sz="0" w:space="0" w:color="auto"/>
      </w:divBdr>
    </w:div>
    <w:div w:id="750196246">
      <w:bodyDiv w:val="1"/>
      <w:marLeft w:val="0"/>
      <w:marRight w:val="0"/>
      <w:marTop w:val="0"/>
      <w:marBottom w:val="0"/>
      <w:divBdr>
        <w:top w:val="none" w:sz="0" w:space="0" w:color="auto"/>
        <w:left w:val="none" w:sz="0" w:space="0" w:color="auto"/>
        <w:bottom w:val="none" w:sz="0" w:space="0" w:color="auto"/>
        <w:right w:val="none" w:sz="0" w:space="0" w:color="auto"/>
      </w:divBdr>
    </w:div>
    <w:div w:id="899171358">
      <w:bodyDiv w:val="1"/>
      <w:marLeft w:val="0"/>
      <w:marRight w:val="0"/>
      <w:marTop w:val="0"/>
      <w:marBottom w:val="0"/>
      <w:divBdr>
        <w:top w:val="none" w:sz="0" w:space="0" w:color="auto"/>
        <w:left w:val="none" w:sz="0" w:space="0" w:color="auto"/>
        <w:bottom w:val="none" w:sz="0" w:space="0" w:color="auto"/>
        <w:right w:val="none" w:sz="0" w:space="0" w:color="auto"/>
      </w:divBdr>
    </w:div>
    <w:div w:id="1273243930">
      <w:bodyDiv w:val="1"/>
      <w:marLeft w:val="0"/>
      <w:marRight w:val="0"/>
      <w:marTop w:val="0"/>
      <w:marBottom w:val="0"/>
      <w:divBdr>
        <w:top w:val="none" w:sz="0" w:space="0" w:color="auto"/>
        <w:left w:val="none" w:sz="0" w:space="0" w:color="auto"/>
        <w:bottom w:val="none" w:sz="0" w:space="0" w:color="auto"/>
        <w:right w:val="none" w:sz="0" w:space="0" w:color="auto"/>
      </w:divBdr>
    </w:div>
    <w:div w:id="1470518714">
      <w:bodyDiv w:val="1"/>
      <w:marLeft w:val="0"/>
      <w:marRight w:val="0"/>
      <w:marTop w:val="0"/>
      <w:marBottom w:val="0"/>
      <w:divBdr>
        <w:top w:val="none" w:sz="0" w:space="0" w:color="auto"/>
        <w:left w:val="none" w:sz="0" w:space="0" w:color="auto"/>
        <w:bottom w:val="none" w:sz="0" w:space="0" w:color="auto"/>
        <w:right w:val="none" w:sz="0" w:space="0" w:color="auto"/>
      </w:divBdr>
    </w:div>
    <w:div w:id="1689869476">
      <w:bodyDiv w:val="1"/>
      <w:marLeft w:val="0"/>
      <w:marRight w:val="0"/>
      <w:marTop w:val="0"/>
      <w:marBottom w:val="0"/>
      <w:divBdr>
        <w:top w:val="none" w:sz="0" w:space="0" w:color="auto"/>
        <w:left w:val="none" w:sz="0" w:space="0" w:color="auto"/>
        <w:bottom w:val="none" w:sz="0" w:space="0" w:color="auto"/>
        <w:right w:val="none" w:sz="0" w:space="0" w:color="auto"/>
      </w:divBdr>
    </w:div>
    <w:div w:id="1846750568">
      <w:bodyDiv w:val="1"/>
      <w:marLeft w:val="0"/>
      <w:marRight w:val="0"/>
      <w:marTop w:val="0"/>
      <w:marBottom w:val="0"/>
      <w:divBdr>
        <w:top w:val="none" w:sz="0" w:space="0" w:color="auto"/>
        <w:left w:val="none" w:sz="0" w:space="0" w:color="auto"/>
        <w:bottom w:val="none" w:sz="0" w:space="0" w:color="auto"/>
        <w:right w:val="none" w:sz="0" w:space="0" w:color="auto"/>
      </w:divBdr>
    </w:div>
    <w:div w:id="1890679400">
      <w:bodyDiv w:val="1"/>
      <w:marLeft w:val="0"/>
      <w:marRight w:val="0"/>
      <w:marTop w:val="0"/>
      <w:marBottom w:val="0"/>
      <w:divBdr>
        <w:top w:val="none" w:sz="0" w:space="0" w:color="auto"/>
        <w:left w:val="none" w:sz="0" w:space="0" w:color="auto"/>
        <w:bottom w:val="none" w:sz="0" w:space="0" w:color="auto"/>
        <w:right w:val="none" w:sz="0" w:space="0" w:color="auto"/>
      </w:divBdr>
    </w:div>
    <w:div w:id="1895460355">
      <w:bodyDiv w:val="1"/>
      <w:marLeft w:val="0"/>
      <w:marRight w:val="0"/>
      <w:marTop w:val="0"/>
      <w:marBottom w:val="0"/>
      <w:divBdr>
        <w:top w:val="none" w:sz="0" w:space="0" w:color="auto"/>
        <w:left w:val="none" w:sz="0" w:space="0" w:color="auto"/>
        <w:bottom w:val="none" w:sz="0" w:space="0" w:color="auto"/>
        <w:right w:val="none" w:sz="0" w:space="0" w:color="auto"/>
      </w:divBdr>
    </w:div>
    <w:div w:id="2025087938">
      <w:bodyDiv w:val="1"/>
      <w:marLeft w:val="0"/>
      <w:marRight w:val="0"/>
      <w:marTop w:val="0"/>
      <w:marBottom w:val="0"/>
      <w:divBdr>
        <w:top w:val="none" w:sz="0" w:space="0" w:color="auto"/>
        <w:left w:val="none" w:sz="0" w:space="0" w:color="auto"/>
        <w:bottom w:val="none" w:sz="0" w:space="0" w:color="auto"/>
        <w:right w:val="none" w:sz="0" w:space="0" w:color="auto"/>
      </w:divBdr>
    </w:div>
    <w:div w:id="213162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sraf.nd.edu/data/augmented-10-x-header-data/" TargetMode="External"/><Relationship Id="rId1" Type="http://schemas.openxmlformats.org/officeDocument/2006/relationships/hyperlink" Target="https://aese.psu.edu/nercrd/community/social-capital-resources/social-capital-variables-for-1997-2005-200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8CAF6A5F3C4C59B8E4AA48CB93DFC1"/>
        <w:category>
          <w:name w:val="General"/>
          <w:gallery w:val="placeholder"/>
        </w:category>
        <w:types>
          <w:type w:val="bbPlcHdr"/>
        </w:types>
        <w:behaviors>
          <w:behavior w:val="content"/>
        </w:behaviors>
        <w:guid w:val="{72B088F0-A1AB-4A67-92C4-5980B1CE54D0}"/>
      </w:docPartPr>
      <w:docPartBody>
        <w:p w:rsidR="00000000" w:rsidRDefault="0054452E" w:rsidP="0054452E">
          <w:pPr>
            <w:pStyle w:val="8F8CAF6A5F3C4C59B8E4AA48CB93DFC1"/>
          </w:pPr>
          <w:r w:rsidRPr="006C687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52E"/>
    <w:rsid w:val="0054452E"/>
    <w:rsid w:val="00E22E69"/>
    <w:rsid w:val="00E63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452E"/>
    <w:rPr>
      <w:color w:val="666666"/>
    </w:rPr>
  </w:style>
  <w:style w:type="paragraph" w:customStyle="1" w:styleId="E18FF2FE07D3490591965275D03FFD71">
    <w:name w:val="E18FF2FE07D3490591965275D03FFD71"/>
    <w:rsid w:val="0054452E"/>
  </w:style>
  <w:style w:type="paragraph" w:customStyle="1" w:styleId="BB712E163BC041818FB4624DD72A8D69">
    <w:name w:val="BB712E163BC041818FB4624DD72A8D69"/>
    <w:rsid w:val="0054452E"/>
  </w:style>
  <w:style w:type="paragraph" w:customStyle="1" w:styleId="8F8CAF6A5F3C4C59B8E4AA48CB93DFC1">
    <w:name w:val="8F8CAF6A5F3C4C59B8E4AA48CB93DFC1"/>
    <w:rsid w:val="005445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FB44E20-8C84-4C3E-992D-C0591F200D3E}">
  <we:reference id="wa104382081" version="1.55.1.0" store="en-US" storeType="OMEX"/>
  <we:alternateReferences>
    <we:reference id="WA104382081" version="1.55.1.0" stor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A0C29-5783-4B19-AE41-35079E173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43</Pages>
  <Words>23665</Words>
  <Characters>141756</Characters>
  <Application>Microsoft Office Word</Application>
  <DocSecurity>0</DocSecurity>
  <Lines>6443</Lines>
  <Paragraphs>3243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Yufan Dong</dc:creator>
  <cp:keywords/>
  <dc:description/>
  <cp:lastModifiedBy>YD</cp:lastModifiedBy>
  <cp:revision>32</cp:revision>
  <dcterms:created xsi:type="dcterms:W3CDTF">2025-07-09T14:13:00Z</dcterms:created>
  <dcterms:modified xsi:type="dcterms:W3CDTF">2025-07-09T18:29:00Z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http://www.zotero.org/styles/begell-house-chicago-author-date</vt:lpwstr>
  </property>
  <property fmtid="{D5CDD505-2E9C-101B-9397-08002B2CF9AE}" pid="9" name="Mendeley Recent Style Name 3_1">
    <vt:lpwstr>Begell House - Chicago Manual of Style</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http://www.zotero.org/styles/chicago-note-bibliography</vt:lpwstr>
  </property>
  <property fmtid="{D5CDD505-2E9C-101B-9397-08002B2CF9AE}" pid="13" name="Mendeley Recent Style Name 5_1">
    <vt:lpwstr>Chicago Manual of Style 17th edition (note)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http://www.zotero.org/styles/taylor-and-francis-chicago-author-date</vt:lpwstr>
  </property>
  <property fmtid="{D5CDD505-2E9C-101B-9397-08002B2CF9AE}" pid="17" name="Mendeley Recent Style Name 7_1">
    <vt:lpwstr>Taylor &amp; Francis - Chicago Manual of Style (author-date)</vt:lpwstr>
  </property>
  <property fmtid="{D5CDD505-2E9C-101B-9397-08002B2CF9AE}" pid="18" name="Mendeley Recent Style Id 8_1">
    <vt:lpwstr>http://www.zotero.org/styles/the-accounting-review</vt:lpwstr>
  </property>
  <property fmtid="{D5CDD505-2E9C-101B-9397-08002B2CF9AE}" pid="19" name="Mendeley Recent Style Name 8_1">
    <vt:lpwstr>The Accounting Review</vt:lpwstr>
  </property>
  <property fmtid="{D5CDD505-2E9C-101B-9397-08002B2CF9AE}" pid="20" name="Mendeley Recent Style Id 9_1">
    <vt:lpwstr>http://csl.mendeley.com/styles/572942491/the-accounting-review-2</vt:lpwstr>
  </property>
  <property fmtid="{D5CDD505-2E9C-101B-9397-08002B2CF9AE}" pid="21" name="Mendeley Recent Style Name 9_1">
    <vt:lpwstr>The Accounting Review - Yufan Dong</vt:lpwstr>
  </property>
  <property fmtid="{D5CDD505-2E9C-101B-9397-08002B2CF9AE}" pid="22" name="Mendeley Document_1">
    <vt:lpwstr>True</vt:lpwstr>
  </property>
  <property fmtid="{D5CDD505-2E9C-101B-9397-08002B2CF9AE}" pid="23" name="Mendeley Unique User Id_1">
    <vt:lpwstr>1819f804-5b18-384a-a56c-668c074214c9</vt:lpwstr>
  </property>
  <property fmtid="{D5CDD505-2E9C-101B-9397-08002B2CF9AE}" pid="24" name="Mendeley Citation Style_1">
    <vt:lpwstr>http://csl.mendeley.com/styles/572942491/the-accounting-review-2</vt:lpwstr>
  </property>
</Properties>
</file>